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8771D6" w:rsidRPr="008771D6" w:rsidRDefault="00DF633D" w:rsidP="008771D6">
      <w:pPr>
        <w:ind w:left="-625"/>
        <w:rPr>
          <w:rFonts w:ascii="David" w:hAnsi="David" w:cs="David"/>
          <w:b/>
          <w:bCs/>
          <w:sz w:val="26"/>
          <w:szCs w:val="26"/>
          <w:rtl/>
        </w:rPr>
      </w:pPr>
      <w:sdt>
        <w:sdtPr>
          <w:rPr>
            <w:rFonts w:ascii="David" w:hAnsi="David" w:cs="David"/>
            <w:rtl/>
          </w:rPr>
          <w:alias w:val="1170"/>
          <w:tag w:val="1170"/>
          <w:id w:val="1066377040"/>
          <w:text w:multiLine="1"/>
        </w:sdtPr>
        <w:sdtEndPr/>
        <w:sdtContent>
          <w:r w:rsidR="008771D6">
            <w:rPr>
              <w:rFonts w:ascii="David" w:hAnsi="David" w:cs="David"/>
              <w:b/>
              <w:bCs/>
              <w:sz w:val="26"/>
              <w:szCs w:val="26"/>
              <w:rtl/>
            </w:rPr>
            <w:br/>
          </w:r>
          <w:r w:rsidR="008771D6">
            <w:rPr>
              <w:rFonts w:ascii="David" w:hAnsi="David" w:cs="David"/>
              <w:b/>
              <w:bCs/>
              <w:sz w:val="26"/>
              <w:szCs w:val="26"/>
              <w:rtl/>
            </w:rPr>
            <w:br/>
          </w:r>
          <w:proofErr w:type="spellStart"/>
          <w:r w:rsidR="008771D6" w:rsidRPr="008771D6">
            <w:rPr>
              <w:rFonts w:ascii="David" w:hAnsi="David" w:cs="David"/>
              <w:b/>
              <w:bCs/>
              <w:sz w:val="26"/>
              <w:szCs w:val="26"/>
              <w:rtl/>
            </w:rPr>
            <w:t>רמ"ש</w:t>
          </w:r>
          <w:proofErr w:type="spellEnd"/>
        </w:sdtContent>
      </w:sdt>
      <w:r w:rsidR="008771D6" w:rsidRPr="008771D6">
        <w:rPr>
          <w:rFonts w:ascii="David" w:hAnsi="David" w:cs="David"/>
          <w:b/>
          <w:bCs/>
          <w:sz w:val="26"/>
          <w:szCs w:val="26"/>
          <w:rtl/>
        </w:rPr>
        <w:t xml:space="preserve"> </w:t>
      </w:r>
      <w:sdt>
        <w:sdtPr>
          <w:rPr>
            <w:rFonts w:ascii="David" w:hAnsi="David" w:cs="David"/>
            <w:rtl/>
          </w:rPr>
          <w:alias w:val="1171"/>
          <w:tag w:val="1171"/>
          <w:id w:val="257034231"/>
          <w:text w:multiLine="1"/>
        </w:sdtPr>
        <w:sdtEndPr/>
        <w:sdtContent>
          <w:r w:rsidR="008771D6" w:rsidRPr="008771D6">
            <w:rPr>
              <w:rFonts w:ascii="David" w:hAnsi="David" w:cs="David"/>
              <w:b/>
              <w:bCs/>
              <w:sz w:val="26"/>
              <w:szCs w:val="26"/>
              <w:rtl/>
            </w:rPr>
            <w:t>65573-05-23</w:t>
          </w:r>
        </w:sdtContent>
      </w:sdt>
      <w:r w:rsidR="008771D6" w:rsidRPr="008771D6">
        <w:rPr>
          <w:rFonts w:ascii="David" w:hAnsi="David" w:cs="David"/>
          <w:b/>
          <w:bCs/>
          <w:sz w:val="26"/>
          <w:szCs w:val="26"/>
          <w:rtl/>
        </w:rPr>
        <w:t xml:space="preserve"> </w:t>
      </w:r>
      <w:sdt>
        <w:sdtPr>
          <w:rPr>
            <w:rFonts w:ascii="David" w:hAnsi="David" w:cs="David"/>
            <w:b/>
            <w:bCs/>
            <w:sz w:val="26"/>
            <w:szCs w:val="26"/>
            <w:rtl/>
          </w:rPr>
          <w:alias w:val="3154"/>
          <w:tag w:val="3154"/>
          <w:id w:val="-1714497037"/>
          <w:placeholder>
            <w:docPart w:val="2E726C8C6151421896116CA5F9D94282"/>
          </w:placeholder>
          <w:text w:multiLine="1"/>
        </w:sdtPr>
        <w:sdtEndPr/>
        <w:sdtContent>
          <w:r w:rsidR="008771D6">
            <w:rPr>
              <w:rFonts w:ascii="David" w:hAnsi="David" w:cs="David" w:hint="cs"/>
              <w:b/>
              <w:bCs/>
              <w:sz w:val="26"/>
              <w:szCs w:val="26"/>
              <w:rtl/>
            </w:rPr>
            <w:t xml:space="preserve">פלוני </w:t>
          </w:r>
          <w:r w:rsidR="008771D6" w:rsidRPr="008771D6">
            <w:rPr>
              <w:rFonts w:ascii="David" w:hAnsi="David" w:cs="David"/>
              <w:b/>
              <w:bCs/>
              <w:sz w:val="26"/>
              <w:szCs w:val="26"/>
              <w:rtl/>
            </w:rPr>
            <w:t xml:space="preserve">נ' </w:t>
          </w:r>
          <w:r w:rsidR="008771D6">
            <w:rPr>
              <w:rFonts w:ascii="David" w:hAnsi="David" w:cs="David" w:hint="cs"/>
              <w:b/>
              <w:bCs/>
              <w:sz w:val="26"/>
              <w:szCs w:val="26"/>
              <w:rtl/>
            </w:rPr>
            <w:t>אלמונית</w:t>
          </w:r>
        </w:sdtContent>
      </w:sdt>
      <w:r w:rsidR="008771D6" w:rsidRPr="008771D6">
        <w:rPr>
          <w:rFonts w:ascii="David" w:hAnsi="David" w:cs="David"/>
          <w:b/>
          <w:bCs/>
          <w:sz w:val="26"/>
          <w:szCs w:val="26"/>
          <w:rtl/>
        </w:rPr>
        <w:t xml:space="preserve"> </w:t>
      </w:r>
    </w:p>
    <w:p w:rsidR="008771D6" w:rsidRPr="007B7765" w:rsidRDefault="008771D6" w:rsidP="008771D6">
      <w:pPr>
        <w:rPr>
          <w:b/>
          <w:bCs/>
          <w:sz w:val="2"/>
          <w:szCs w:val="2"/>
          <w:rtl/>
        </w:rPr>
      </w:pPr>
    </w:p>
    <w:tbl>
      <w:tblPr>
        <w:tblStyle w:val="a3"/>
        <w:bidiVisual/>
        <w:tblW w:w="903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206"/>
        <w:gridCol w:w="2290"/>
        <w:gridCol w:w="5540"/>
      </w:tblGrid>
      <w:tr w:rsidR="008771D6" w:rsidRPr="008771D6" w:rsidTr="00BB15BB">
        <w:trPr>
          <w:jc w:val="center"/>
        </w:trPr>
        <w:tc>
          <w:tcPr>
            <w:tcW w:w="1206" w:type="dxa"/>
          </w:tcPr>
          <w:p w:rsidR="008771D6" w:rsidRPr="008771D6" w:rsidRDefault="008771D6" w:rsidP="008771D6">
            <w:pPr>
              <w:suppressLineNumbers/>
              <w:jc w:val="both"/>
              <w:rPr>
                <w:rFonts w:ascii="Arial" w:hAnsi="Arial" w:cs="David"/>
                <w:b/>
                <w:bCs/>
                <w:noProof/>
                <w:sz w:val="26"/>
                <w:szCs w:val="26"/>
                <w:rtl/>
              </w:rPr>
            </w:pPr>
            <w:r>
              <w:rPr>
                <w:rFonts w:ascii="Arial" w:hAnsi="Arial" w:cs="David" w:hint="cs"/>
                <w:b/>
                <w:bCs/>
                <w:noProof/>
                <w:sz w:val="26"/>
                <w:szCs w:val="26"/>
                <w:rtl/>
              </w:rPr>
              <w:t>ב</w:t>
            </w:r>
            <w:r w:rsidRPr="008771D6">
              <w:rPr>
                <w:rFonts w:ascii="Arial" w:hAnsi="Arial" w:cs="David"/>
                <w:b/>
                <w:bCs/>
                <w:noProof/>
                <w:sz w:val="26"/>
                <w:szCs w:val="26"/>
                <w:rtl/>
              </w:rPr>
              <w:t xml:space="preserve">פני </w:t>
            </w:r>
          </w:p>
        </w:tc>
        <w:tc>
          <w:tcPr>
            <w:tcW w:w="7830" w:type="dxa"/>
            <w:gridSpan w:val="2"/>
          </w:tcPr>
          <w:p w:rsidR="008771D6" w:rsidRPr="008771D6" w:rsidRDefault="008771D6" w:rsidP="008771D6">
            <w:pPr>
              <w:suppressLineNumbers/>
              <w:rPr>
                <w:rFonts w:ascii="Arial" w:hAnsi="Arial" w:cs="David"/>
                <w:b/>
                <w:bCs/>
                <w:noProof/>
                <w:sz w:val="26"/>
                <w:szCs w:val="26"/>
                <w:rtl/>
              </w:rPr>
            </w:pPr>
            <w:r w:rsidRPr="008771D6">
              <w:rPr>
                <w:rFonts w:ascii="Arial" w:hAnsi="Arial" w:cs="David" w:hint="cs"/>
                <w:b/>
                <w:bCs/>
                <w:noProof/>
                <w:sz w:val="26"/>
                <w:szCs w:val="26"/>
                <w:rtl/>
              </w:rPr>
              <w:t>כבוד ה</w:t>
            </w:r>
            <w:sdt>
              <w:sdtPr>
                <w:rPr>
                  <w:rFonts w:cs="David"/>
                  <w:b/>
                  <w:bCs/>
                  <w:noProof/>
                  <w:sz w:val="26"/>
                  <w:szCs w:val="26"/>
                  <w:rtl/>
                </w:rPr>
                <w:alias w:val="1574"/>
                <w:tag w:val="1574"/>
                <w:id w:val="414602899"/>
                <w:text w:multiLine="1"/>
              </w:sdtPr>
              <w:sdtEndPr/>
              <w:sdtContent>
                <w:r w:rsidRPr="008771D6">
                  <w:rPr>
                    <w:rFonts w:cs="David"/>
                    <w:b/>
                    <w:bCs/>
                    <w:noProof/>
                    <w:sz w:val="26"/>
                    <w:szCs w:val="26"/>
                    <w:rtl/>
                  </w:rPr>
                  <w:t>שופטת</w:t>
                </w:r>
              </w:sdtContent>
            </w:sdt>
            <w:r w:rsidRPr="008771D6">
              <w:rPr>
                <w:rFonts w:ascii="Arial" w:hAnsi="Arial" w:cs="David" w:hint="cs"/>
                <w:b/>
                <w:bCs/>
                <w:noProof/>
                <w:sz w:val="26"/>
                <w:szCs w:val="26"/>
                <w:rtl/>
              </w:rPr>
              <w:t xml:space="preserve"> </w:t>
            </w:r>
            <w:sdt>
              <w:sdtPr>
                <w:rPr>
                  <w:rFonts w:cs="David"/>
                  <w:b/>
                  <w:bCs/>
                  <w:noProof/>
                  <w:sz w:val="26"/>
                  <w:szCs w:val="26"/>
                  <w:rtl/>
                </w:rPr>
                <w:alias w:val="1573"/>
                <w:tag w:val="1573"/>
                <w:id w:val="-1751030614"/>
                <w:text w:multiLine="1"/>
              </w:sdtPr>
              <w:sdtEndPr/>
              <w:sdtContent>
                <w:r w:rsidRPr="008771D6">
                  <w:rPr>
                    <w:rFonts w:cs="David"/>
                    <w:b/>
                    <w:bCs/>
                    <w:noProof/>
                    <w:sz w:val="26"/>
                    <w:szCs w:val="26"/>
                    <w:rtl/>
                  </w:rPr>
                  <w:t>פאני גילת כהן</w:t>
                </w:r>
              </w:sdtContent>
            </w:sdt>
          </w:p>
          <w:p w:rsidR="008771D6" w:rsidRPr="008771D6" w:rsidRDefault="008771D6" w:rsidP="008771D6">
            <w:pPr>
              <w:suppressLineNumbers/>
              <w:rPr>
                <w:rFonts w:cs="David"/>
                <w:b/>
                <w:bCs/>
                <w:noProof/>
                <w:sz w:val="26"/>
                <w:szCs w:val="26"/>
              </w:rPr>
            </w:pPr>
          </w:p>
        </w:tc>
      </w:tr>
      <w:tr w:rsidR="008771D6" w:rsidRPr="008771D6" w:rsidTr="00BB15BB">
        <w:trPr>
          <w:jc w:val="center"/>
        </w:trPr>
        <w:tc>
          <w:tcPr>
            <w:tcW w:w="3496" w:type="dxa"/>
            <w:gridSpan w:val="2"/>
          </w:tcPr>
          <w:p w:rsidR="008771D6" w:rsidRPr="008771D6" w:rsidRDefault="008771D6" w:rsidP="008771D6">
            <w:pPr>
              <w:suppressLineNumbers/>
              <w:rPr>
                <w:rFonts w:cs="David"/>
                <w:b/>
                <w:bCs/>
                <w:noProof/>
                <w:sz w:val="24"/>
                <w:szCs w:val="24"/>
                <w:rtl/>
              </w:rPr>
            </w:pPr>
          </w:p>
          <w:sdt>
            <w:sdtPr>
              <w:rPr>
                <w:rFonts w:cs="David"/>
                <w:b/>
                <w:bCs/>
                <w:noProof/>
                <w:sz w:val="24"/>
                <w:szCs w:val="24"/>
                <w:rtl/>
              </w:rPr>
              <w:alias w:val="1180"/>
              <w:tag w:val="1180"/>
              <w:id w:val="637458750"/>
              <w:text w:multiLine="1"/>
            </w:sdtPr>
            <w:sdtEndPr/>
            <w:sdtContent>
              <w:p w:rsidR="008771D6" w:rsidRPr="008771D6" w:rsidRDefault="008771D6" w:rsidP="008771D6">
                <w:pPr>
                  <w:suppressLineNumbers/>
                  <w:rPr>
                    <w:rFonts w:ascii="Arial" w:hAnsi="Arial" w:cs="David"/>
                    <w:b/>
                    <w:bCs/>
                    <w:sz w:val="26"/>
                    <w:szCs w:val="26"/>
                    <w:rtl/>
                  </w:rPr>
                </w:pPr>
                <w:r w:rsidRPr="008771D6">
                  <w:rPr>
                    <w:rFonts w:cs="David" w:hint="cs"/>
                    <w:b/>
                    <w:bCs/>
                    <w:noProof/>
                    <w:sz w:val="24"/>
                    <w:szCs w:val="24"/>
                    <w:rtl/>
                  </w:rPr>
                  <w:t xml:space="preserve"> המבקש</w:t>
                </w:r>
              </w:p>
            </w:sdtContent>
          </w:sdt>
        </w:tc>
        <w:tc>
          <w:tcPr>
            <w:tcW w:w="5540" w:type="dxa"/>
          </w:tcPr>
          <w:p w:rsidR="008771D6" w:rsidRPr="008771D6" w:rsidRDefault="008771D6" w:rsidP="008771D6">
            <w:pPr>
              <w:suppressLineNumbers/>
              <w:rPr>
                <w:rFonts w:cs="David"/>
                <w:noProof/>
                <w:sz w:val="24"/>
                <w:szCs w:val="24"/>
                <w:rtl/>
              </w:rPr>
            </w:pPr>
          </w:p>
          <w:p w:rsidR="008771D6" w:rsidRPr="008771D6" w:rsidRDefault="00DF633D" w:rsidP="008771D6">
            <w:pPr>
              <w:suppressLineNumbers/>
              <w:rPr>
                <w:rFonts w:cs="David"/>
                <w:b/>
                <w:bCs/>
                <w:sz w:val="26"/>
                <w:szCs w:val="26"/>
              </w:rPr>
            </w:pPr>
            <w:sdt>
              <w:sdtPr>
                <w:rPr>
                  <w:rFonts w:ascii="Arial" w:hAnsi="Arial" w:cs="David"/>
                  <w:b/>
                  <w:bCs/>
                  <w:sz w:val="26"/>
                  <w:szCs w:val="26"/>
                  <w:rtl/>
                </w:rPr>
                <w:alias w:val="3151"/>
                <w:tag w:val="3151"/>
                <w:id w:val="1166218717"/>
                <w:placeholder>
                  <w:docPart w:val="934004F6E2A7496E8271DA9C394F517F"/>
                </w:placeholder>
                <w:text w:multiLine="1"/>
              </w:sdtPr>
              <w:sdtEndPr/>
              <w:sdtContent>
                <w:r w:rsidR="008771D6">
                  <w:rPr>
                    <w:rFonts w:ascii="Arial" w:hAnsi="Arial" w:cs="David" w:hint="cs"/>
                    <w:b/>
                    <w:bCs/>
                    <w:sz w:val="26"/>
                    <w:szCs w:val="26"/>
                    <w:rtl/>
                  </w:rPr>
                  <w:t>פלוני</w:t>
                </w:r>
                <w:r w:rsidR="008771D6" w:rsidRPr="008771D6">
                  <w:rPr>
                    <w:rFonts w:ascii="Arial" w:hAnsi="Arial" w:cs="David"/>
                    <w:b/>
                    <w:bCs/>
                    <w:sz w:val="26"/>
                    <w:szCs w:val="26"/>
                    <w:rtl/>
                  </w:rPr>
                  <w:br/>
                </w:r>
                <w:r w:rsidR="008771D6" w:rsidRPr="008771D6">
                  <w:rPr>
                    <w:rFonts w:ascii="Arial" w:hAnsi="Arial" w:cs="David" w:hint="cs"/>
                    <w:b/>
                    <w:bCs/>
                    <w:sz w:val="26"/>
                    <w:szCs w:val="26"/>
                    <w:rtl/>
                  </w:rPr>
                  <w:t xml:space="preserve">באמצעות עו"ד לילך </w:t>
                </w:r>
                <w:proofErr w:type="spellStart"/>
                <w:r w:rsidR="008771D6" w:rsidRPr="008771D6">
                  <w:rPr>
                    <w:rFonts w:ascii="Arial" w:hAnsi="Arial" w:cs="David" w:hint="cs"/>
                    <w:b/>
                    <w:bCs/>
                    <w:sz w:val="26"/>
                    <w:szCs w:val="26"/>
                    <w:rtl/>
                  </w:rPr>
                  <w:t>אללוף</w:t>
                </w:r>
                <w:proofErr w:type="spellEnd"/>
                <w:r w:rsidR="008771D6" w:rsidRPr="008771D6">
                  <w:rPr>
                    <w:rFonts w:ascii="Arial" w:hAnsi="Arial" w:cs="David" w:hint="cs"/>
                    <w:b/>
                    <w:bCs/>
                    <w:sz w:val="26"/>
                    <w:szCs w:val="26"/>
                    <w:rtl/>
                  </w:rPr>
                  <w:t xml:space="preserve"> </w:t>
                </w:r>
                <w:r w:rsidR="008771D6" w:rsidRPr="008771D6">
                  <w:rPr>
                    <w:rFonts w:ascii="Arial" w:hAnsi="Arial" w:cs="David"/>
                    <w:b/>
                    <w:bCs/>
                    <w:sz w:val="26"/>
                    <w:szCs w:val="26"/>
                    <w:rtl/>
                  </w:rPr>
                  <w:br/>
                </w:r>
              </w:sdtContent>
            </w:sdt>
          </w:p>
        </w:tc>
      </w:tr>
      <w:tr w:rsidR="008771D6" w:rsidRPr="008771D6" w:rsidTr="00BB15BB">
        <w:trPr>
          <w:jc w:val="center"/>
        </w:trPr>
        <w:tc>
          <w:tcPr>
            <w:tcW w:w="9036" w:type="dxa"/>
            <w:gridSpan w:val="3"/>
          </w:tcPr>
          <w:p w:rsidR="008771D6" w:rsidRPr="008771D6" w:rsidRDefault="008771D6" w:rsidP="008771D6">
            <w:pPr>
              <w:suppressLineNumbers/>
              <w:rPr>
                <w:rFonts w:ascii="Arial" w:hAnsi="Arial" w:cs="David"/>
                <w:b/>
                <w:bCs/>
                <w:sz w:val="26"/>
                <w:szCs w:val="26"/>
                <w:rtl/>
              </w:rPr>
            </w:pPr>
          </w:p>
          <w:p w:rsidR="008771D6" w:rsidRPr="008771D6" w:rsidRDefault="008771D6" w:rsidP="008771D6">
            <w:pPr>
              <w:suppressLineNumbers/>
              <w:jc w:val="center"/>
              <w:rPr>
                <w:rFonts w:ascii="Arial" w:hAnsi="Arial" w:cs="David"/>
                <w:b/>
                <w:bCs/>
                <w:sz w:val="26"/>
                <w:szCs w:val="26"/>
                <w:rtl/>
              </w:rPr>
            </w:pPr>
          </w:p>
          <w:p w:rsidR="008771D6" w:rsidRPr="008771D6" w:rsidRDefault="008771D6" w:rsidP="008771D6">
            <w:pPr>
              <w:suppressLineNumbers/>
              <w:rPr>
                <w:rFonts w:ascii="Arial" w:hAnsi="Arial" w:cs="David"/>
                <w:b/>
                <w:bCs/>
                <w:sz w:val="26"/>
                <w:szCs w:val="26"/>
              </w:rPr>
            </w:pPr>
          </w:p>
        </w:tc>
      </w:tr>
      <w:tr w:rsidR="008771D6" w:rsidRPr="008771D6" w:rsidTr="00BB15BB">
        <w:trPr>
          <w:jc w:val="center"/>
        </w:trPr>
        <w:tc>
          <w:tcPr>
            <w:tcW w:w="3496" w:type="dxa"/>
            <w:gridSpan w:val="2"/>
          </w:tcPr>
          <w:p w:rsidR="008771D6" w:rsidRPr="008771D6" w:rsidRDefault="00DF633D" w:rsidP="008771D6">
            <w:pPr>
              <w:suppressLineNumbers/>
              <w:rPr>
                <w:rFonts w:ascii="Arial" w:hAnsi="Arial" w:cs="David"/>
                <w:b/>
                <w:bCs/>
                <w:sz w:val="26"/>
                <w:szCs w:val="26"/>
              </w:rPr>
            </w:pPr>
            <w:sdt>
              <w:sdtPr>
                <w:rPr>
                  <w:rFonts w:cs="David"/>
                  <w:b/>
                  <w:bCs/>
                  <w:noProof/>
                  <w:sz w:val="24"/>
                  <w:szCs w:val="24"/>
                  <w:rtl/>
                </w:rPr>
                <w:alias w:val="1184"/>
                <w:tag w:val="1184"/>
                <w:id w:val="-340621022"/>
                <w:text w:multiLine="1"/>
              </w:sdtPr>
              <w:sdtEndPr/>
              <w:sdtContent>
                <w:r w:rsidR="008771D6" w:rsidRPr="008771D6">
                  <w:rPr>
                    <w:rFonts w:cs="David" w:hint="cs"/>
                    <w:b/>
                    <w:bCs/>
                    <w:noProof/>
                    <w:sz w:val="24"/>
                    <w:szCs w:val="24"/>
                    <w:rtl/>
                  </w:rPr>
                  <w:t xml:space="preserve"> המשיבה</w:t>
                </w:r>
              </w:sdtContent>
            </w:sdt>
          </w:p>
        </w:tc>
        <w:tc>
          <w:tcPr>
            <w:tcW w:w="5540" w:type="dxa"/>
          </w:tcPr>
          <w:p w:rsidR="008771D6" w:rsidRPr="008771D6" w:rsidRDefault="00DF633D" w:rsidP="008771D6">
            <w:pPr>
              <w:suppressLineNumbers/>
              <w:rPr>
                <w:rFonts w:ascii="Arial" w:hAnsi="Arial" w:cs="David"/>
                <w:b/>
                <w:bCs/>
                <w:sz w:val="26"/>
                <w:szCs w:val="26"/>
                <w:rtl/>
              </w:rPr>
            </w:pPr>
            <w:sdt>
              <w:sdtPr>
                <w:rPr>
                  <w:rFonts w:ascii="Arial" w:hAnsi="Arial" w:cs="David"/>
                  <w:b/>
                  <w:bCs/>
                  <w:sz w:val="26"/>
                  <w:szCs w:val="26"/>
                  <w:rtl/>
                </w:rPr>
                <w:alias w:val="3152"/>
                <w:tag w:val="3152"/>
                <w:id w:val="-1346628691"/>
                <w:placeholder>
                  <w:docPart w:val="4084C9535209436E98FB5E3E77282714"/>
                </w:placeholder>
                <w:text w:multiLine="1"/>
              </w:sdtPr>
              <w:sdtEndPr/>
              <w:sdtContent>
                <w:r w:rsidR="008771D6">
                  <w:rPr>
                    <w:rFonts w:ascii="Arial" w:hAnsi="Arial" w:cs="David" w:hint="cs"/>
                    <w:b/>
                    <w:bCs/>
                    <w:sz w:val="26"/>
                    <w:szCs w:val="26"/>
                    <w:rtl/>
                  </w:rPr>
                  <w:t>אלמונית</w:t>
                </w:r>
                <w:r w:rsidR="008771D6" w:rsidRPr="008771D6">
                  <w:rPr>
                    <w:rFonts w:ascii="Arial" w:hAnsi="Arial" w:cs="David" w:hint="cs"/>
                    <w:b/>
                    <w:bCs/>
                    <w:sz w:val="26"/>
                    <w:szCs w:val="26"/>
                    <w:rtl/>
                  </w:rPr>
                  <w:t xml:space="preserve"> </w:t>
                </w:r>
                <w:r w:rsidR="008771D6" w:rsidRPr="008771D6">
                  <w:rPr>
                    <w:rFonts w:ascii="Arial" w:hAnsi="Arial" w:cs="David"/>
                    <w:b/>
                    <w:bCs/>
                    <w:sz w:val="26"/>
                    <w:szCs w:val="26"/>
                    <w:rtl/>
                  </w:rPr>
                  <w:br/>
                </w:r>
                <w:r w:rsidR="008771D6" w:rsidRPr="008771D6">
                  <w:rPr>
                    <w:rFonts w:ascii="Arial" w:hAnsi="Arial" w:cs="David" w:hint="cs"/>
                    <w:b/>
                    <w:bCs/>
                    <w:sz w:val="26"/>
                    <w:szCs w:val="26"/>
                    <w:rtl/>
                  </w:rPr>
                  <w:t xml:space="preserve">באמצעות עו"ד </w:t>
                </w:r>
                <w:proofErr w:type="spellStart"/>
                <w:r w:rsidR="008771D6" w:rsidRPr="008771D6">
                  <w:rPr>
                    <w:rFonts w:ascii="Arial" w:hAnsi="Arial" w:cs="David" w:hint="cs"/>
                    <w:b/>
                    <w:bCs/>
                    <w:sz w:val="26"/>
                    <w:szCs w:val="26"/>
                    <w:rtl/>
                  </w:rPr>
                  <w:t>יאן</w:t>
                </w:r>
                <w:proofErr w:type="spellEnd"/>
                <w:r w:rsidR="008771D6" w:rsidRPr="008771D6">
                  <w:rPr>
                    <w:rFonts w:ascii="Arial" w:hAnsi="Arial" w:cs="David" w:hint="cs"/>
                    <w:b/>
                    <w:bCs/>
                    <w:sz w:val="26"/>
                    <w:szCs w:val="26"/>
                    <w:rtl/>
                  </w:rPr>
                  <w:t xml:space="preserve"> </w:t>
                </w:r>
                <w:proofErr w:type="spellStart"/>
                <w:r w:rsidR="008771D6" w:rsidRPr="008771D6">
                  <w:rPr>
                    <w:rFonts w:ascii="Arial" w:hAnsi="Arial" w:cs="David" w:hint="cs"/>
                    <w:b/>
                    <w:bCs/>
                    <w:sz w:val="26"/>
                    <w:szCs w:val="26"/>
                    <w:rtl/>
                  </w:rPr>
                  <w:t>קרומין</w:t>
                </w:r>
                <w:proofErr w:type="spellEnd"/>
                <w:r w:rsidR="008771D6" w:rsidRPr="008771D6">
                  <w:rPr>
                    <w:rFonts w:ascii="Arial" w:hAnsi="Arial" w:cs="David"/>
                    <w:b/>
                    <w:bCs/>
                    <w:sz w:val="26"/>
                    <w:szCs w:val="26"/>
                    <w:rtl/>
                  </w:rPr>
                  <w:br/>
                </w:r>
                <w:r w:rsidR="008771D6" w:rsidRPr="008771D6">
                  <w:rPr>
                    <w:rFonts w:ascii="Arial" w:hAnsi="Arial" w:cs="David" w:hint="cs"/>
                    <w:b/>
                    <w:bCs/>
                    <w:sz w:val="26"/>
                    <w:szCs w:val="26"/>
                    <w:rtl/>
                  </w:rPr>
                  <w:t>עפ"י מינוי מטעם הלשכה לסיוע משפטי</w:t>
                </w:r>
              </w:sdtContent>
            </w:sdt>
          </w:p>
        </w:tc>
      </w:tr>
      <w:tr w:rsidR="008771D6" w:rsidRPr="008771D6" w:rsidTr="00BB15BB">
        <w:trPr>
          <w:jc w:val="center"/>
        </w:trPr>
        <w:tc>
          <w:tcPr>
            <w:tcW w:w="9036" w:type="dxa"/>
            <w:gridSpan w:val="3"/>
          </w:tcPr>
          <w:p w:rsidR="008771D6" w:rsidRPr="008771D6" w:rsidRDefault="008771D6" w:rsidP="008771D6">
            <w:pPr>
              <w:suppressLineNumbers/>
              <w:rPr>
                <w:rFonts w:cs="David"/>
                <w:noProof/>
                <w:sz w:val="24"/>
                <w:szCs w:val="24"/>
                <w:rtl/>
              </w:rPr>
            </w:pPr>
          </w:p>
          <w:p w:rsidR="008771D6" w:rsidRPr="008771D6" w:rsidRDefault="008771D6" w:rsidP="008771D6">
            <w:pPr>
              <w:suppressLineNumbers/>
              <w:rPr>
                <w:rFonts w:cs="David"/>
                <w:noProof/>
                <w:sz w:val="24"/>
                <w:szCs w:val="24"/>
              </w:rPr>
            </w:pPr>
          </w:p>
          <w:p w:rsidR="008771D6" w:rsidRPr="008771D6" w:rsidRDefault="008771D6" w:rsidP="008771D6">
            <w:pPr>
              <w:suppressLineNumbers/>
              <w:rPr>
                <w:rFonts w:cs="David"/>
                <w:noProof/>
                <w:sz w:val="24"/>
                <w:szCs w:val="24"/>
                <w:rtl/>
              </w:rPr>
            </w:pPr>
          </w:p>
          <w:tbl>
            <w:tblPr>
              <w:tblStyle w:val="1"/>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8771D6" w:rsidRPr="008771D6" w:rsidTr="008771D6">
              <w:trPr>
                <w:jc w:val="center"/>
              </w:trPr>
              <w:tc>
                <w:tcPr>
                  <w:tcW w:w="3249" w:type="dxa"/>
                  <w:hideMark/>
                </w:tcPr>
                <w:p w:rsidR="008771D6" w:rsidRPr="008771D6" w:rsidRDefault="00DF633D" w:rsidP="008771D6">
                  <w:pPr>
                    <w:suppressLineNumbers/>
                    <w:jc w:val="left"/>
                    <w:rPr>
                      <w:rFonts w:ascii="Arial" w:hAnsi="Arial" w:cs="David"/>
                      <w:b/>
                      <w:bCs/>
                      <w:sz w:val="26"/>
                      <w:szCs w:val="26"/>
                    </w:rPr>
                  </w:pPr>
                  <w:sdt>
                    <w:sdtPr>
                      <w:rPr>
                        <w:rFonts w:cs="David"/>
                        <w:b/>
                        <w:bCs/>
                        <w:noProof/>
                        <w:sz w:val="26"/>
                        <w:szCs w:val="26"/>
                        <w:u w:val="single"/>
                        <w:rtl/>
                      </w:rPr>
                      <w:alias w:val="1184"/>
                      <w:tag w:val="1184"/>
                      <w:id w:val="-1779165378"/>
                      <w:text w:multiLine="1"/>
                    </w:sdtPr>
                    <w:sdtEndPr/>
                    <w:sdtContent>
                      <w:r w:rsidR="008771D6" w:rsidRPr="008771D6">
                        <w:rPr>
                          <w:rFonts w:cs="David"/>
                          <w:b/>
                          <w:bCs/>
                          <w:noProof/>
                          <w:sz w:val="26"/>
                          <w:szCs w:val="26"/>
                          <w:u w:val="single"/>
                          <w:rtl/>
                        </w:rPr>
                        <w:t>ובעניין</w:t>
                      </w:r>
                      <w:r w:rsidR="008771D6" w:rsidRPr="008771D6">
                        <w:rPr>
                          <w:rFonts w:cs="David" w:hint="cs"/>
                          <w:b/>
                          <w:bCs/>
                          <w:noProof/>
                          <w:sz w:val="26"/>
                          <w:szCs w:val="26"/>
                          <w:u w:val="single"/>
                          <w:rtl/>
                        </w:rPr>
                        <w:t xml:space="preserve"> הקטינים:</w:t>
                      </w:r>
                      <w:r w:rsidR="008771D6" w:rsidRPr="008771D6">
                        <w:rPr>
                          <w:rFonts w:cs="David"/>
                          <w:b/>
                          <w:bCs/>
                          <w:noProof/>
                          <w:sz w:val="26"/>
                          <w:szCs w:val="26"/>
                          <w:u w:val="single"/>
                          <w:rtl/>
                        </w:rPr>
                        <w:t xml:space="preserve"> </w:t>
                      </w:r>
                    </w:sdtContent>
                  </w:sdt>
                </w:p>
              </w:tc>
              <w:tc>
                <w:tcPr>
                  <w:tcW w:w="5571" w:type="dxa"/>
                  <w:hideMark/>
                </w:tcPr>
                <w:p w:rsidR="008771D6" w:rsidRPr="008771D6" w:rsidRDefault="00DF633D" w:rsidP="008771D6">
                  <w:pPr>
                    <w:suppressLineNumbers/>
                    <w:jc w:val="left"/>
                    <w:rPr>
                      <w:rFonts w:ascii="Arial" w:hAnsi="Arial" w:cs="David"/>
                      <w:b/>
                      <w:bCs/>
                      <w:sz w:val="26"/>
                      <w:szCs w:val="26"/>
                      <w:rtl/>
                    </w:rPr>
                  </w:pPr>
                  <w:sdt>
                    <w:sdtPr>
                      <w:rPr>
                        <w:rFonts w:ascii="Arial" w:hAnsi="Arial" w:cs="David"/>
                        <w:b/>
                        <w:bCs/>
                        <w:sz w:val="26"/>
                        <w:szCs w:val="26"/>
                        <w:rtl/>
                      </w:rPr>
                      <w:alias w:val="1571"/>
                      <w:tag w:val="1571"/>
                      <w:id w:val="-489176171"/>
                      <w:text w:multiLine="1"/>
                    </w:sdtPr>
                    <w:sdtEndPr/>
                    <w:sdtContent>
                      <w:r w:rsidR="008771D6" w:rsidRPr="008771D6">
                        <w:rPr>
                          <w:rFonts w:ascii="Arial" w:hAnsi="Arial" w:cs="David" w:hint="cs"/>
                          <w:b/>
                          <w:bCs/>
                          <w:sz w:val="26"/>
                          <w:szCs w:val="26"/>
                          <w:rtl/>
                        </w:rPr>
                        <w:t>1</w:t>
                      </w:r>
                    </w:sdtContent>
                  </w:sdt>
                  <w:r w:rsidR="008771D6" w:rsidRPr="008771D6">
                    <w:rPr>
                      <w:rFonts w:ascii="Arial" w:hAnsi="Arial" w:cs="David"/>
                      <w:b/>
                      <w:bCs/>
                      <w:sz w:val="26"/>
                      <w:szCs w:val="26"/>
                      <w:rtl/>
                    </w:rPr>
                    <w:t xml:space="preserve">. </w:t>
                  </w:r>
                  <w:sdt>
                    <w:sdtPr>
                      <w:rPr>
                        <w:rFonts w:ascii="Arial" w:hAnsi="Arial" w:cs="David"/>
                        <w:b/>
                        <w:bCs/>
                        <w:sz w:val="26"/>
                        <w:szCs w:val="26"/>
                        <w:rtl/>
                      </w:rPr>
                      <w:alias w:val="3152"/>
                      <w:tag w:val="3152"/>
                      <w:id w:val="-1607718849"/>
                      <w:placeholder>
                        <w:docPart w:val="790E9B88321C4C84A5A30DD798DC8304"/>
                      </w:placeholder>
                      <w:text w:multiLine="1"/>
                    </w:sdtPr>
                    <w:sdtEndPr/>
                    <w:sdtContent>
                      <w:r w:rsidR="008771D6">
                        <w:rPr>
                          <w:rFonts w:ascii="Arial" w:hAnsi="Arial" w:cs="David" w:hint="cs"/>
                          <w:b/>
                          <w:bCs/>
                          <w:sz w:val="26"/>
                          <w:szCs w:val="26"/>
                          <w:rtl/>
                        </w:rPr>
                        <w:t>...</w:t>
                      </w:r>
                    </w:sdtContent>
                  </w:sdt>
                </w:p>
                <w:p w:rsidR="008771D6" w:rsidRPr="008771D6" w:rsidRDefault="00DF633D" w:rsidP="008771D6">
                  <w:pPr>
                    <w:suppressLineNumbers/>
                    <w:jc w:val="left"/>
                    <w:rPr>
                      <w:rFonts w:ascii="Arial" w:hAnsi="Arial" w:cs="David"/>
                      <w:b/>
                      <w:bCs/>
                      <w:sz w:val="26"/>
                      <w:szCs w:val="26"/>
                    </w:rPr>
                  </w:pPr>
                  <w:sdt>
                    <w:sdtPr>
                      <w:rPr>
                        <w:rFonts w:ascii="Arial" w:hAnsi="Arial" w:cs="David"/>
                        <w:b/>
                        <w:bCs/>
                        <w:sz w:val="26"/>
                        <w:szCs w:val="26"/>
                        <w:rtl/>
                      </w:rPr>
                      <w:alias w:val="1571"/>
                      <w:tag w:val="1571"/>
                      <w:id w:val="1204373270"/>
                      <w:text w:multiLine="1"/>
                    </w:sdtPr>
                    <w:sdtEndPr/>
                    <w:sdtContent>
                      <w:r w:rsidR="008771D6" w:rsidRPr="008771D6">
                        <w:rPr>
                          <w:rFonts w:ascii="Arial" w:hAnsi="Arial" w:cs="David" w:hint="cs"/>
                          <w:b/>
                          <w:bCs/>
                          <w:sz w:val="26"/>
                          <w:szCs w:val="26"/>
                          <w:rtl/>
                        </w:rPr>
                        <w:t>2</w:t>
                      </w:r>
                    </w:sdtContent>
                  </w:sdt>
                  <w:r w:rsidR="008771D6" w:rsidRPr="008771D6">
                    <w:rPr>
                      <w:rFonts w:ascii="Arial" w:hAnsi="Arial" w:cs="David"/>
                      <w:b/>
                      <w:bCs/>
                      <w:sz w:val="26"/>
                      <w:szCs w:val="26"/>
                      <w:rtl/>
                    </w:rPr>
                    <w:t xml:space="preserve">. </w:t>
                  </w:r>
                  <w:sdt>
                    <w:sdtPr>
                      <w:rPr>
                        <w:rFonts w:ascii="Arial" w:hAnsi="Arial" w:cs="David"/>
                        <w:b/>
                        <w:bCs/>
                        <w:sz w:val="26"/>
                        <w:szCs w:val="26"/>
                        <w:rtl/>
                      </w:rPr>
                      <w:alias w:val="3152"/>
                      <w:tag w:val="3152"/>
                      <w:id w:val="1521507725"/>
                      <w:placeholder>
                        <w:docPart w:val="790E9B88321C4C84A5A30DD798DC8304"/>
                      </w:placeholder>
                      <w:text w:multiLine="1"/>
                    </w:sdtPr>
                    <w:sdtEndPr/>
                    <w:sdtContent>
                      <w:r w:rsidR="008771D6">
                        <w:rPr>
                          <w:rFonts w:ascii="Arial" w:hAnsi="Arial" w:cs="David" w:hint="cs"/>
                          <w:b/>
                          <w:bCs/>
                          <w:sz w:val="26"/>
                          <w:szCs w:val="26"/>
                          <w:rtl/>
                        </w:rPr>
                        <w:t>...</w:t>
                      </w:r>
                      <w:r w:rsidR="008771D6" w:rsidRPr="008771D6">
                        <w:rPr>
                          <w:rFonts w:ascii="Arial" w:hAnsi="Arial" w:cs="David"/>
                          <w:b/>
                          <w:bCs/>
                          <w:sz w:val="26"/>
                          <w:szCs w:val="26"/>
                          <w:rtl/>
                        </w:rPr>
                        <w:br/>
                        <w:t xml:space="preserve">3. </w:t>
                      </w:r>
                      <w:r w:rsidR="008771D6">
                        <w:rPr>
                          <w:rFonts w:ascii="Arial" w:hAnsi="Arial" w:cs="David" w:hint="cs"/>
                          <w:b/>
                          <w:bCs/>
                          <w:sz w:val="26"/>
                          <w:szCs w:val="26"/>
                          <w:rtl/>
                        </w:rPr>
                        <w:t>...</w:t>
                      </w:r>
                      <w:r w:rsidR="008771D6" w:rsidRPr="008771D6">
                        <w:rPr>
                          <w:rFonts w:ascii="Arial" w:hAnsi="Arial" w:cs="David"/>
                          <w:b/>
                          <w:bCs/>
                          <w:sz w:val="26"/>
                          <w:szCs w:val="26"/>
                          <w:rtl/>
                        </w:rPr>
                        <w:br/>
                      </w:r>
                      <w:r w:rsidR="008771D6" w:rsidRPr="008771D6">
                        <w:rPr>
                          <w:rFonts w:ascii="Arial" w:hAnsi="Arial" w:cs="David"/>
                          <w:b/>
                          <w:bCs/>
                          <w:sz w:val="26"/>
                          <w:szCs w:val="26"/>
                          <w:rtl/>
                        </w:rPr>
                        <w:br/>
                      </w:r>
                    </w:sdtContent>
                  </w:sdt>
                </w:p>
              </w:tc>
            </w:tr>
          </w:tbl>
          <w:p w:rsidR="008771D6" w:rsidRPr="008771D6" w:rsidRDefault="008771D6" w:rsidP="008771D6">
            <w:pPr>
              <w:suppressLineNumbers/>
              <w:rPr>
                <w:rFonts w:cs="David"/>
                <w:noProof/>
                <w:sz w:val="24"/>
                <w:szCs w:val="24"/>
                <w:rtl/>
              </w:rPr>
            </w:pPr>
          </w:p>
        </w:tc>
      </w:tr>
    </w:tbl>
    <w:p w:rsidR="008771D6" w:rsidRPr="008771D6" w:rsidRDefault="008771D6" w:rsidP="008771D6">
      <w:pPr>
        <w:suppressLineNumbers/>
        <w:spacing w:after="0" w:line="240" w:lineRule="auto"/>
        <w:rPr>
          <w:rFonts w:ascii="Times New Roman" w:eastAsia="Times New Roman" w:hAnsi="Times New Roman" w:cs="David"/>
          <w:noProof/>
          <w:sz w:val="24"/>
          <w:szCs w:val="24"/>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8771D6" w:rsidRPr="008771D6" w:rsidTr="00BB15BB">
        <w:trPr>
          <w:jc w:val="center"/>
        </w:trPr>
        <w:tc>
          <w:tcPr>
            <w:tcW w:w="8820" w:type="dxa"/>
          </w:tcPr>
          <w:p w:rsidR="008771D6" w:rsidRPr="008771D6" w:rsidRDefault="008771D6" w:rsidP="008771D6">
            <w:pPr>
              <w:bidi w:val="0"/>
              <w:jc w:val="center"/>
              <w:rPr>
                <w:rFonts w:ascii="Arial" w:hAnsi="Arial" w:cs="David"/>
                <w:b/>
                <w:bCs/>
                <w:sz w:val="32"/>
                <w:szCs w:val="32"/>
                <w:u w:val="single"/>
                <w:rtl/>
              </w:rPr>
            </w:pPr>
            <w:r w:rsidRPr="008771D6">
              <w:rPr>
                <w:rFonts w:ascii="Arial" w:hAnsi="Arial" w:cs="David" w:hint="cs"/>
                <w:b/>
                <w:bCs/>
                <w:sz w:val="32"/>
                <w:szCs w:val="32"/>
                <w:u w:val="single"/>
                <w:rtl/>
              </w:rPr>
              <w:t>החלטה</w:t>
            </w:r>
          </w:p>
          <w:p w:rsidR="008771D6" w:rsidRPr="008771D6" w:rsidRDefault="008771D6" w:rsidP="008771D6">
            <w:pPr>
              <w:bidi w:val="0"/>
              <w:jc w:val="center"/>
              <w:rPr>
                <w:rFonts w:ascii="Arial" w:hAnsi="Arial" w:cs="David"/>
                <w:b/>
                <w:bCs/>
                <w:sz w:val="28"/>
                <w:szCs w:val="28"/>
                <w:u w:val="single"/>
              </w:rPr>
            </w:pPr>
          </w:p>
        </w:tc>
      </w:tr>
    </w:tbl>
    <w:p w:rsidR="008771D6" w:rsidRPr="008771D6" w:rsidRDefault="008771D6" w:rsidP="008771D6">
      <w:pPr>
        <w:spacing w:after="0" w:line="360" w:lineRule="auto"/>
        <w:ind w:left="85"/>
        <w:contextualSpacing/>
        <w:jc w:val="both"/>
        <w:rPr>
          <w:rFonts w:ascii="Arial" w:eastAsia="Times New Roman" w:hAnsi="Arial" w:cs="David"/>
          <w:sz w:val="24"/>
          <w:szCs w:val="24"/>
          <w:rtl/>
        </w:rPr>
      </w:pPr>
      <w:bookmarkStart w:id="1" w:name="NGCSBookmark"/>
      <w:bookmarkEnd w:id="1"/>
      <w:r w:rsidRPr="008771D6">
        <w:rPr>
          <w:rFonts w:ascii="Arial" w:eastAsia="Times New Roman" w:hAnsi="Arial" w:cs="David"/>
          <w:sz w:val="24"/>
          <w:szCs w:val="24"/>
          <w:rtl/>
        </w:rPr>
        <w:t>בקשת רשות הערעור שלפנ</w:t>
      </w:r>
      <w:r w:rsidRPr="008771D6">
        <w:rPr>
          <w:rFonts w:ascii="Arial" w:eastAsia="Times New Roman" w:hAnsi="Arial" w:cs="David" w:hint="cs"/>
          <w:sz w:val="24"/>
          <w:szCs w:val="24"/>
          <w:rtl/>
        </w:rPr>
        <w:t>ינו</w:t>
      </w:r>
      <w:r w:rsidRPr="008771D6">
        <w:rPr>
          <w:rFonts w:ascii="Arial" w:eastAsia="Times New Roman" w:hAnsi="Arial" w:cs="David"/>
          <w:sz w:val="24"/>
          <w:szCs w:val="24"/>
          <w:rtl/>
        </w:rPr>
        <w:t xml:space="preserve"> מכוונת כנגד החלטת בית המשפט לענייני משפחה באשדוד (כב' השופט רמי </w:t>
      </w:r>
      <w:proofErr w:type="spellStart"/>
      <w:r w:rsidRPr="008771D6">
        <w:rPr>
          <w:rFonts w:ascii="Arial" w:eastAsia="Times New Roman" w:hAnsi="Arial" w:cs="David"/>
          <w:sz w:val="24"/>
          <w:szCs w:val="24"/>
          <w:rtl/>
        </w:rPr>
        <w:t>בז'ה</w:t>
      </w:r>
      <w:proofErr w:type="spellEnd"/>
      <w:r w:rsidRPr="008771D6">
        <w:rPr>
          <w:rFonts w:ascii="Arial" w:eastAsia="Times New Roman" w:hAnsi="Arial" w:cs="David"/>
          <w:sz w:val="24"/>
          <w:szCs w:val="24"/>
          <w:rtl/>
        </w:rPr>
        <w:t xml:space="preserve">) </w:t>
      </w:r>
      <w:r w:rsidRPr="008771D6">
        <w:rPr>
          <w:rFonts w:ascii="Arial" w:eastAsia="Times New Roman" w:hAnsi="Arial" w:cs="David" w:hint="cs"/>
          <w:sz w:val="24"/>
          <w:szCs w:val="24"/>
          <w:rtl/>
        </w:rPr>
        <w:t xml:space="preserve">מיום 01.05.2023 שניתנה </w:t>
      </w:r>
      <w:r w:rsidRPr="008771D6">
        <w:rPr>
          <w:rFonts w:ascii="Arial" w:eastAsia="Times New Roman" w:hAnsi="Arial" w:cs="David"/>
          <w:sz w:val="24"/>
          <w:szCs w:val="24"/>
          <w:rtl/>
        </w:rPr>
        <w:t>ב</w:t>
      </w:r>
      <w:r w:rsidRPr="008771D6">
        <w:rPr>
          <w:rFonts w:ascii="Arial" w:eastAsia="Times New Roman" w:hAnsi="Arial" w:cs="David" w:hint="cs"/>
          <w:sz w:val="24"/>
          <w:szCs w:val="24"/>
          <w:rtl/>
        </w:rPr>
        <w:t>-</w:t>
      </w:r>
      <w:proofErr w:type="spellStart"/>
      <w:r w:rsidRPr="008771D6">
        <w:rPr>
          <w:rFonts w:ascii="Arial" w:eastAsia="Times New Roman" w:hAnsi="Arial" w:cs="David"/>
          <w:sz w:val="24"/>
          <w:szCs w:val="24"/>
          <w:rtl/>
        </w:rPr>
        <w:t>תלה"מ</w:t>
      </w:r>
      <w:proofErr w:type="spellEnd"/>
      <w:r w:rsidRPr="008771D6">
        <w:rPr>
          <w:rFonts w:ascii="Arial" w:eastAsia="Times New Roman" w:hAnsi="Arial" w:cs="David"/>
          <w:sz w:val="24"/>
          <w:szCs w:val="24"/>
          <w:rtl/>
        </w:rPr>
        <w:t xml:space="preserve"> 42898-10-21 בגדרה </w:t>
      </w:r>
      <w:r w:rsidRPr="008771D6">
        <w:rPr>
          <w:rFonts w:ascii="Arial" w:eastAsia="Times New Roman" w:hAnsi="Arial" w:cs="David" w:hint="cs"/>
          <w:sz w:val="24"/>
          <w:szCs w:val="24"/>
          <w:rtl/>
        </w:rPr>
        <w:t xml:space="preserve">נדחתה </w:t>
      </w:r>
      <w:r w:rsidRPr="008771D6">
        <w:rPr>
          <w:rFonts w:ascii="Arial" w:eastAsia="Times New Roman" w:hAnsi="Arial" w:cs="David"/>
          <w:sz w:val="24"/>
          <w:szCs w:val="24"/>
          <w:rtl/>
        </w:rPr>
        <w:t>בקשת המבקש לביטול ה</w:t>
      </w:r>
      <w:r w:rsidRPr="008771D6">
        <w:rPr>
          <w:rFonts w:ascii="Arial" w:eastAsia="Times New Roman" w:hAnsi="Arial" w:cs="David" w:hint="cs"/>
          <w:sz w:val="24"/>
          <w:szCs w:val="24"/>
          <w:rtl/>
        </w:rPr>
        <w:t xml:space="preserve">חלטה </w:t>
      </w:r>
      <w:r w:rsidRPr="008771D6">
        <w:rPr>
          <w:rFonts w:ascii="Arial" w:eastAsia="Times New Roman" w:hAnsi="Arial" w:cs="David"/>
          <w:sz w:val="24"/>
          <w:szCs w:val="24"/>
          <w:rtl/>
        </w:rPr>
        <w:t xml:space="preserve">מיום 01.02.2023 </w:t>
      </w:r>
      <w:r w:rsidRPr="008771D6">
        <w:rPr>
          <w:rFonts w:ascii="Arial" w:eastAsia="Times New Roman" w:hAnsi="Arial" w:cs="David" w:hint="cs"/>
          <w:sz w:val="24"/>
          <w:szCs w:val="24"/>
          <w:rtl/>
        </w:rPr>
        <w:t>ב</w:t>
      </w:r>
      <w:r w:rsidRPr="008771D6">
        <w:rPr>
          <w:rFonts w:ascii="Arial" w:eastAsia="Times New Roman" w:hAnsi="Arial" w:cs="David"/>
          <w:sz w:val="24"/>
          <w:szCs w:val="24"/>
          <w:rtl/>
        </w:rPr>
        <w:t xml:space="preserve">מסגרתה </w:t>
      </w:r>
      <w:r w:rsidRPr="008771D6">
        <w:rPr>
          <w:rFonts w:ascii="Arial" w:eastAsia="Times New Roman" w:hAnsi="Arial" w:cs="David" w:hint="cs"/>
          <w:sz w:val="24"/>
          <w:szCs w:val="24"/>
          <w:rtl/>
        </w:rPr>
        <w:t>אושרו הסכמות הצדדים באשר גובשו על ידם במהלך דיון</w:t>
      </w:r>
      <w:r w:rsidRPr="008771D6">
        <w:rPr>
          <w:rFonts w:ascii="Arial" w:eastAsia="Times New Roman" w:hAnsi="Arial" w:cs="David"/>
          <w:sz w:val="24"/>
          <w:szCs w:val="24"/>
          <w:rtl/>
        </w:rPr>
        <w:t xml:space="preserve"> בשלוש תובענות </w:t>
      </w:r>
      <w:r w:rsidRPr="008771D6">
        <w:rPr>
          <w:rFonts w:ascii="Arial" w:eastAsia="Times New Roman" w:hAnsi="Arial" w:cs="David" w:hint="cs"/>
          <w:sz w:val="24"/>
          <w:szCs w:val="24"/>
          <w:rtl/>
        </w:rPr>
        <w:t>ש</w:t>
      </w:r>
      <w:r w:rsidRPr="008771D6">
        <w:rPr>
          <w:rFonts w:ascii="Arial" w:eastAsia="Times New Roman" w:hAnsi="Arial" w:cs="David"/>
          <w:sz w:val="24"/>
          <w:szCs w:val="24"/>
          <w:rtl/>
        </w:rPr>
        <w:t>הגישה המשיבה כנגד המבקש</w:t>
      </w:r>
      <w:r w:rsidRPr="008771D6">
        <w:rPr>
          <w:rFonts w:ascii="Arial" w:eastAsia="Times New Roman" w:hAnsi="Arial" w:cs="David" w:hint="cs"/>
          <w:sz w:val="24"/>
          <w:szCs w:val="24"/>
          <w:rtl/>
        </w:rPr>
        <w:t>:</w:t>
      </w:r>
      <w:r w:rsidRPr="008771D6">
        <w:rPr>
          <w:rFonts w:ascii="Arial" w:eastAsia="Times New Roman" w:hAnsi="Arial" w:cs="David"/>
          <w:sz w:val="24"/>
          <w:szCs w:val="24"/>
          <w:rtl/>
        </w:rPr>
        <w:t xml:space="preserve"> </w:t>
      </w:r>
      <w:r w:rsidRPr="008771D6">
        <w:rPr>
          <w:rFonts w:ascii="Arial" w:eastAsia="Times New Roman" w:hAnsi="Arial" w:cs="David" w:hint="cs"/>
          <w:sz w:val="24"/>
          <w:szCs w:val="24"/>
          <w:rtl/>
        </w:rPr>
        <w:t xml:space="preserve">תביעה שעניינה </w:t>
      </w:r>
      <w:r w:rsidRPr="008771D6">
        <w:rPr>
          <w:rFonts w:ascii="Arial" w:eastAsia="Times New Roman" w:hAnsi="Arial" w:cs="David"/>
          <w:sz w:val="24"/>
          <w:szCs w:val="24"/>
          <w:rtl/>
        </w:rPr>
        <w:t xml:space="preserve"> אחריות הורית וחלוקת זמני שהות</w:t>
      </w:r>
      <w:r w:rsidRPr="008771D6">
        <w:rPr>
          <w:rFonts w:ascii="Arial" w:eastAsia="Times New Roman" w:hAnsi="Arial" w:cs="David" w:hint="cs"/>
          <w:sz w:val="24"/>
          <w:szCs w:val="24"/>
          <w:rtl/>
        </w:rPr>
        <w:t xml:space="preserve"> הקטינים עם הוריהם-הצדדים;</w:t>
      </w:r>
      <w:r w:rsidRPr="008771D6">
        <w:rPr>
          <w:rFonts w:ascii="Arial" w:eastAsia="Times New Roman" w:hAnsi="Arial" w:cs="David"/>
          <w:sz w:val="24"/>
          <w:szCs w:val="24"/>
          <w:rtl/>
        </w:rPr>
        <w:t xml:space="preserve"> </w:t>
      </w:r>
      <w:r w:rsidRPr="008771D6">
        <w:rPr>
          <w:rFonts w:ascii="Arial" w:eastAsia="Times New Roman" w:hAnsi="Arial" w:cs="David" w:hint="cs"/>
          <w:sz w:val="24"/>
          <w:szCs w:val="24"/>
          <w:rtl/>
        </w:rPr>
        <w:t>ת</w:t>
      </w:r>
      <w:r w:rsidRPr="008771D6">
        <w:rPr>
          <w:rFonts w:ascii="Arial" w:eastAsia="Times New Roman" w:hAnsi="Arial" w:cs="David"/>
          <w:sz w:val="24"/>
          <w:szCs w:val="24"/>
          <w:rtl/>
        </w:rPr>
        <w:t xml:space="preserve">ביעה למזונות </w:t>
      </w:r>
      <w:r w:rsidRPr="008771D6">
        <w:rPr>
          <w:rFonts w:ascii="Arial" w:eastAsia="Times New Roman" w:hAnsi="Arial" w:cs="David" w:hint="cs"/>
          <w:sz w:val="24"/>
          <w:szCs w:val="24"/>
          <w:rtl/>
        </w:rPr>
        <w:t xml:space="preserve">הקטינים; ותביעה להתיר הגירת </w:t>
      </w:r>
      <w:r w:rsidRPr="008771D6">
        <w:rPr>
          <w:rFonts w:ascii="Arial" w:eastAsia="Times New Roman" w:hAnsi="Arial" w:cs="David"/>
          <w:sz w:val="24"/>
          <w:szCs w:val="24"/>
          <w:rtl/>
        </w:rPr>
        <w:t xml:space="preserve">הקטינים עם המשיבה לארה"ב. </w:t>
      </w:r>
    </w:p>
    <w:p w:rsidR="008771D6" w:rsidRPr="008771D6" w:rsidRDefault="008771D6" w:rsidP="008771D6">
      <w:pPr>
        <w:spacing w:after="0" w:line="360" w:lineRule="auto"/>
        <w:ind w:left="85"/>
        <w:contextualSpacing/>
        <w:jc w:val="both"/>
        <w:rPr>
          <w:rFonts w:ascii="Arial" w:eastAsia="Times New Roman" w:hAnsi="Arial" w:cs="David"/>
          <w:sz w:val="24"/>
          <w:szCs w:val="24"/>
          <w:rtl/>
        </w:rPr>
      </w:pPr>
    </w:p>
    <w:p w:rsidR="008771D6" w:rsidRPr="008771D6" w:rsidRDefault="008771D6" w:rsidP="008771D6">
      <w:pPr>
        <w:spacing w:after="0" w:line="360" w:lineRule="auto"/>
        <w:ind w:left="85"/>
        <w:contextualSpacing/>
        <w:jc w:val="both"/>
        <w:rPr>
          <w:rFonts w:ascii="Arial" w:eastAsia="Times New Roman" w:hAnsi="Arial" w:cs="David"/>
          <w:b/>
          <w:bCs/>
          <w:sz w:val="24"/>
          <w:szCs w:val="24"/>
        </w:rPr>
      </w:pPr>
      <w:r w:rsidRPr="008771D6">
        <w:rPr>
          <w:rFonts w:ascii="Arial" w:eastAsia="Times New Roman" w:hAnsi="Arial" w:cs="David" w:hint="cs"/>
          <w:b/>
          <w:bCs/>
          <w:sz w:val="24"/>
          <w:szCs w:val="24"/>
          <w:rtl/>
        </w:rPr>
        <w:t xml:space="preserve">השאלה שבלב ההחלטה שלפנינו היא, אפוא, האם יש לבטל ההחלטה האמורה ולהתיר דיון מחדש בכל ההליכים המתנהלים בפני בית המשפט קמא </w:t>
      </w:r>
      <w:r w:rsidRPr="008771D6">
        <w:rPr>
          <w:rFonts w:ascii="Arial" w:eastAsia="Times New Roman" w:hAnsi="Arial" w:cs="David" w:hint="cs"/>
          <w:sz w:val="24"/>
          <w:szCs w:val="24"/>
          <w:rtl/>
        </w:rPr>
        <w:t>(אם כי המבקש מרכז טיעוניו סביב סוגיית ההגירה של הקטינים לארה"ב)</w:t>
      </w:r>
      <w:r w:rsidRPr="008771D6">
        <w:rPr>
          <w:rFonts w:ascii="Arial" w:eastAsia="Times New Roman" w:hAnsi="Arial" w:cs="David" w:hint="cs"/>
          <w:b/>
          <w:bCs/>
          <w:sz w:val="24"/>
          <w:szCs w:val="24"/>
          <w:rtl/>
        </w:rPr>
        <w:t xml:space="preserve">.  </w:t>
      </w:r>
      <w:r w:rsidRPr="008771D6">
        <w:rPr>
          <w:rFonts w:ascii="Arial" w:eastAsia="Times New Roman" w:hAnsi="Arial" w:cs="David"/>
          <w:b/>
          <w:bCs/>
          <w:sz w:val="24"/>
          <w:szCs w:val="24"/>
          <w:rtl/>
        </w:rPr>
        <w:t xml:space="preserve">  </w:t>
      </w:r>
    </w:p>
    <w:p w:rsidR="008771D6" w:rsidRPr="008771D6" w:rsidRDefault="008771D6" w:rsidP="008771D6">
      <w:pPr>
        <w:spacing w:after="0" w:line="240" w:lineRule="auto"/>
        <w:ind w:left="85"/>
        <w:jc w:val="both"/>
        <w:rPr>
          <w:rFonts w:ascii="Arial" w:eastAsia="Times New Roman" w:hAnsi="Arial" w:cs="David"/>
          <w:sz w:val="24"/>
          <w:szCs w:val="24"/>
        </w:rPr>
      </w:pPr>
    </w:p>
    <w:p w:rsidR="008771D6" w:rsidRPr="008771D6" w:rsidRDefault="008771D6" w:rsidP="008771D6">
      <w:pPr>
        <w:spacing w:line="360" w:lineRule="auto"/>
        <w:ind w:hanging="57"/>
        <w:contextualSpacing/>
        <w:jc w:val="both"/>
        <w:rPr>
          <w:rFonts w:ascii="David" w:eastAsia="Calibri" w:hAnsi="David" w:cs="David"/>
          <w:b/>
          <w:bCs/>
          <w:sz w:val="26"/>
          <w:szCs w:val="26"/>
          <w:u w:val="single"/>
        </w:rPr>
      </w:pPr>
      <w:r w:rsidRPr="008771D6">
        <w:rPr>
          <w:rFonts w:ascii="David" w:eastAsia="Calibri" w:hAnsi="David" w:cs="David"/>
          <w:b/>
          <w:bCs/>
          <w:sz w:val="26"/>
          <w:szCs w:val="26"/>
          <w:u w:val="single"/>
          <w:rtl/>
        </w:rPr>
        <w:t xml:space="preserve">רקע כללי </w:t>
      </w:r>
      <w:r w:rsidRPr="008771D6">
        <w:rPr>
          <w:rFonts w:ascii="David" w:eastAsia="Calibri" w:hAnsi="David" w:cs="David" w:hint="cs"/>
          <w:b/>
          <w:bCs/>
          <w:sz w:val="26"/>
          <w:szCs w:val="26"/>
          <w:u w:val="single"/>
          <w:rtl/>
        </w:rPr>
        <w:t>והשתלשלות ההליכים בבית המשפט קמא</w:t>
      </w:r>
    </w:p>
    <w:p w:rsidR="008771D6" w:rsidRDefault="008771D6" w:rsidP="008771D6">
      <w:pPr>
        <w:numPr>
          <w:ilvl w:val="0"/>
          <w:numId w:val="1"/>
        </w:numPr>
        <w:spacing w:after="0" w:line="360" w:lineRule="auto"/>
        <w:ind w:left="794" w:hanging="567"/>
        <w:contextualSpacing/>
        <w:jc w:val="both"/>
        <w:rPr>
          <w:rFonts w:ascii="Arial" w:eastAsia="Times New Roman" w:hAnsi="Arial" w:cs="David"/>
          <w:sz w:val="24"/>
          <w:szCs w:val="24"/>
        </w:rPr>
      </w:pPr>
      <w:r w:rsidRPr="008771D6">
        <w:rPr>
          <w:rFonts w:ascii="Arial" w:eastAsia="Times New Roman" w:hAnsi="Arial" w:cs="David" w:hint="cs"/>
          <w:sz w:val="24"/>
          <w:szCs w:val="24"/>
          <w:rtl/>
        </w:rPr>
        <w:t xml:space="preserve">הצדדים הם בני זוג לשעבר, שהכירו ונישאו בארה"ב, עת המשיבה ילידת ארה"ב ואילו המבקש ישראלי שהתגורר בארה"ב לאחר השירות הצבאי. </w:t>
      </w:r>
    </w:p>
    <w:p w:rsidR="008771D6" w:rsidRPr="008771D6" w:rsidRDefault="008771D6" w:rsidP="008771D6">
      <w:pPr>
        <w:spacing w:after="0" w:line="360" w:lineRule="auto"/>
        <w:ind w:left="794"/>
        <w:contextualSpacing/>
        <w:jc w:val="both"/>
        <w:rPr>
          <w:rFonts w:ascii="Arial" w:eastAsia="Times New Roman" w:hAnsi="Arial" w:cs="David"/>
          <w:sz w:val="24"/>
          <w:szCs w:val="24"/>
        </w:rPr>
      </w:pPr>
    </w:p>
    <w:p w:rsidR="008771D6" w:rsidRDefault="008771D6" w:rsidP="008771D6">
      <w:pPr>
        <w:pStyle w:val="a8"/>
        <w:rPr>
          <w:rFonts w:ascii="Arial" w:eastAsia="Times New Roman" w:hAnsi="Arial" w:cs="David"/>
          <w:sz w:val="24"/>
          <w:szCs w:val="24"/>
          <w:rtl/>
        </w:rPr>
      </w:pPr>
    </w:p>
    <w:p w:rsidR="008771D6" w:rsidRPr="008771D6" w:rsidRDefault="008771D6" w:rsidP="008771D6">
      <w:pPr>
        <w:numPr>
          <w:ilvl w:val="0"/>
          <w:numId w:val="1"/>
        </w:numPr>
        <w:spacing w:after="0" w:line="360" w:lineRule="auto"/>
        <w:ind w:left="794" w:hanging="567"/>
        <w:contextualSpacing/>
        <w:jc w:val="both"/>
        <w:rPr>
          <w:rFonts w:ascii="Arial" w:eastAsia="Times New Roman" w:hAnsi="Arial" w:cs="David"/>
          <w:sz w:val="24"/>
          <w:szCs w:val="24"/>
        </w:rPr>
      </w:pPr>
      <w:r w:rsidRPr="008771D6">
        <w:rPr>
          <w:rFonts w:ascii="Arial" w:eastAsia="Times New Roman" w:hAnsi="Arial" w:cs="David" w:hint="cs"/>
          <w:sz w:val="24"/>
          <w:szCs w:val="24"/>
          <w:rtl/>
        </w:rPr>
        <w:t xml:space="preserve">לצדדים נולדו שלושה ילדים, הקטינים שבכותרת, הנושאים אזרחות ישראלית ואמריקאית. </w:t>
      </w:r>
    </w:p>
    <w:p w:rsidR="008771D6" w:rsidRPr="008771D6" w:rsidRDefault="008771D6" w:rsidP="008771D6">
      <w:pPr>
        <w:spacing w:after="0" w:line="360" w:lineRule="auto"/>
        <w:ind w:left="794"/>
        <w:contextualSpacing/>
        <w:jc w:val="both"/>
        <w:rPr>
          <w:rFonts w:ascii="Arial" w:eastAsia="Times New Roman" w:hAnsi="Arial" w:cs="David"/>
          <w:sz w:val="24"/>
          <w:szCs w:val="24"/>
        </w:rPr>
      </w:pPr>
    </w:p>
    <w:p w:rsidR="008771D6" w:rsidRPr="008771D6" w:rsidRDefault="008771D6" w:rsidP="008771D6">
      <w:pPr>
        <w:numPr>
          <w:ilvl w:val="0"/>
          <w:numId w:val="1"/>
        </w:numPr>
        <w:spacing w:after="0" w:line="360" w:lineRule="auto"/>
        <w:ind w:left="794" w:hanging="567"/>
        <w:contextualSpacing/>
        <w:jc w:val="both"/>
        <w:rPr>
          <w:rFonts w:ascii="Arial" w:eastAsia="Times New Roman" w:hAnsi="Arial" w:cs="David"/>
          <w:sz w:val="24"/>
          <w:szCs w:val="24"/>
        </w:rPr>
      </w:pPr>
      <w:r w:rsidRPr="008771D6">
        <w:rPr>
          <w:rFonts w:ascii="Arial" w:eastAsia="Times New Roman" w:hAnsi="Arial" w:cs="David" w:hint="cs"/>
          <w:sz w:val="24"/>
          <w:szCs w:val="24"/>
          <w:rtl/>
        </w:rPr>
        <w:t xml:space="preserve">לאורך שנות הנישואין התגוררו הצדדים בארץ ובארה"ב. יחסיהם ידעו משברים, ותוך תקווה כי יהא בכך להביא לשיפור במערכת היחסים ביניהם, שבו במהלך שנת 2019 למגורים בישראל. </w:t>
      </w:r>
    </w:p>
    <w:p w:rsidR="008771D6" w:rsidRPr="008771D6" w:rsidRDefault="008771D6" w:rsidP="008771D6">
      <w:pPr>
        <w:spacing w:after="0" w:line="360" w:lineRule="auto"/>
        <w:ind w:left="794"/>
        <w:contextualSpacing/>
        <w:jc w:val="both"/>
        <w:rPr>
          <w:rFonts w:ascii="Arial" w:eastAsia="Times New Roman" w:hAnsi="Arial" w:cs="David"/>
          <w:sz w:val="24"/>
          <w:szCs w:val="24"/>
        </w:rPr>
      </w:pPr>
    </w:p>
    <w:p w:rsidR="008771D6" w:rsidRPr="008771D6" w:rsidRDefault="008771D6" w:rsidP="008771D6">
      <w:pPr>
        <w:numPr>
          <w:ilvl w:val="0"/>
          <w:numId w:val="1"/>
        </w:numPr>
        <w:spacing w:after="0" w:line="360" w:lineRule="auto"/>
        <w:ind w:left="794" w:hanging="567"/>
        <w:contextualSpacing/>
        <w:jc w:val="both"/>
        <w:rPr>
          <w:rFonts w:ascii="Arial" w:eastAsia="Times New Roman" w:hAnsi="Arial" w:cs="David"/>
          <w:sz w:val="24"/>
          <w:szCs w:val="24"/>
        </w:rPr>
      </w:pPr>
      <w:r w:rsidRPr="008771D6">
        <w:rPr>
          <w:rFonts w:ascii="Arial" w:eastAsia="Times New Roman" w:hAnsi="Arial" w:cs="David" w:hint="cs"/>
          <w:sz w:val="24"/>
          <w:szCs w:val="24"/>
          <w:rtl/>
        </w:rPr>
        <w:t xml:space="preserve">דא עקא, תקוותם נכזבה, ובמהלך שנת 2021 נקטה המשיבה בהליכים משפטיים כנגד המבקש הנסובים סביב ענייני הקטינים, כמפורט לעיל. </w:t>
      </w:r>
    </w:p>
    <w:p w:rsidR="008771D6" w:rsidRPr="008771D6" w:rsidRDefault="008771D6" w:rsidP="008771D6">
      <w:pPr>
        <w:spacing w:after="0" w:line="240" w:lineRule="auto"/>
        <w:ind w:left="720"/>
        <w:contextualSpacing/>
        <w:rPr>
          <w:rFonts w:ascii="Arial" w:eastAsia="Times New Roman" w:hAnsi="Arial" w:cs="David"/>
          <w:sz w:val="24"/>
          <w:szCs w:val="24"/>
          <w:rtl/>
        </w:rPr>
      </w:pPr>
    </w:p>
    <w:p w:rsidR="008771D6" w:rsidRPr="008771D6" w:rsidRDefault="008771D6" w:rsidP="008771D6">
      <w:pPr>
        <w:numPr>
          <w:ilvl w:val="0"/>
          <w:numId w:val="1"/>
        </w:numPr>
        <w:spacing w:after="0" w:line="360" w:lineRule="auto"/>
        <w:ind w:left="794" w:hanging="567"/>
        <w:contextualSpacing/>
        <w:jc w:val="both"/>
        <w:rPr>
          <w:rFonts w:ascii="Arial" w:eastAsia="Times New Roman" w:hAnsi="Arial" w:cs="David"/>
          <w:sz w:val="24"/>
          <w:szCs w:val="24"/>
        </w:rPr>
      </w:pPr>
      <w:r w:rsidRPr="008771D6">
        <w:rPr>
          <w:rFonts w:ascii="Arial" w:eastAsia="Times New Roman" w:hAnsi="Arial" w:cs="David" w:hint="cs"/>
          <w:sz w:val="24"/>
          <w:szCs w:val="24"/>
          <w:rtl/>
        </w:rPr>
        <w:t xml:space="preserve">זמן קצר לאחר שנפתחו ההליכים בבית המשפט לענייני משפחה הצדדים, בראשית שנת 2022,  התגרשו הצדדים זה מזו בגט פיטורין.  </w:t>
      </w:r>
    </w:p>
    <w:p w:rsidR="008771D6" w:rsidRPr="008771D6" w:rsidRDefault="008771D6" w:rsidP="008771D6">
      <w:pPr>
        <w:spacing w:after="0" w:line="240" w:lineRule="auto"/>
        <w:ind w:left="720"/>
        <w:contextualSpacing/>
        <w:rPr>
          <w:rFonts w:ascii="Arial" w:eastAsia="Times New Roman" w:hAnsi="Arial" w:cs="David"/>
          <w:sz w:val="24"/>
          <w:szCs w:val="24"/>
        </w:rPr>
      </w:pPr>
    </w:p>
    <w:p w:rsidR="008771D6" w:rsidRPr="008771D6" w:rsidRDefault="008771D6" w:rsidP="008771D6">
      <w:pPr>
        <w:numPr>
          <w:ilvl w:val="0"/>
          <w:numId w:val="1"/>
        </w:numPr>
        <w:spacing w:after="0" w:line="360" w:lineRule="auto"/>
        <w:ind w:left="794" w:hanging="567"/>
        <w:contextualSpacing/>
        <w:jc w:val="both"/>
        <w:rPr>
          <w:rFonts w:ascii="Arial" w:eastAsia="Times New Roman" w:hAnsi="Arial" w:cs="David"/>
          <w:sz w:val="24"/>
          <w:szCs w:val="24"/>
        </w:rPr>
      </w:pPr>
      <w:r w:rsidRPr="008771D6">
        <w:rPr>
          <w:rFonts w:ascii="Arial" w:eastAsia="Times New Roman" w:hAnsi="Arial" w:cs="David" w:hint="cs"/>
          <w:sz w:val="24"/>
          <w:szCs w:val="24"/>
          <w:rtl/>
        </w:rPr>
        <w:t xml:space="preserve">אגב ניהול ההליכים בבית המשפט קמא מונתה לקטינים </w:t>
      </w:r>
      <w:proofErr w:type="spellStart"/>
      <w:r w:rsidRPr="008771D6">
        <w:rPr>
          <w:rFonts w:ascii="Arial" w:eastAsia="Times New Roman" w:hAnsi="Arial" w:cs="David" w:hint="cs"/>
          <w:sz w:val="24"/>
          <w:szCs w:val="24"/>
          <w:rtl/>
        </w:rPr>
        <w:t>אפוטרופה</w:t>
      </w:r>
      <w:proofErr w:type="spellEnd"/>
      <w:r w:rsidRPr="008771D6">
        <w:rPr>
          <w:rFonts w:ascii="Arial" w:eastAsia="Times New Roman" w:hAnsi="Arial" w:cs="David" w:hint="cs"/>
          <w:sz w:val="24"/>
          <w:szCs w:val="24"/>
          <w:rtl/>
        </w:rPr>
        <w:t xml:space="preserve"> לדין, ונוכח מצבו הרפואי של המבקש, מונתה גם לו, כבר בראשיתם, </w:t>
      </w:r>
      <w:proofErr w:type="spellStart"/>
      <w:r w:rsidRPr="008771D6">
        <w:rPr>
          <w:rFonts w:ascii="Arial" w:eastAsia="Times New Roman" w:hAnsi="Arial" w:cs="David" w:hint="cs"/>
          <w:sz w:val="24"/>
          <w:szCs w:val="24"/>
          <w:rtl/>
        </w:rPr>
        <w:t>אפוטרופה</w:t>
      </w:r>
      <w:proofErr w:type="spellEnd"/>
      <w:r w:rsidRPr="008771D6">
        <w:rPr>
          <w:rFonts w:ascii="Arial" w:eastAsia="Times New Roman" w:hAnsi="Arial" w:cs="David" w:hint="cs"/>
          <w:sz w:val="24"/>
          <w:szCs w:val="24"/>
          <w:rtl/>
        </w:rPr>
        <w:t xml:space="preserve"> לדין </w:t>
      </w:r>
      <w:r w:rsidRPr="008771D6">
        <w:rPr>
          <w:rFonts w:ascii="Arial" w:eastAsia="Times New Roman" w:hAnsi="Arial" w:cs="David"/>
          <w:sz w:val="24"/>
          <w:szCs w:val="24"/>
          <w:rtl/>
        </w:rPr>
        <w:t>–</w:t>
      </w:r>
      <w:r w:rsidRPr="008771D6">
        <w:rPr>
          <w:rFonts w:ascii="Arial" w:eastAsia="Times New Roman" w:hAnsi="Arial" w:cs="David" w:hint="cs"/>
          <w:sz w:val="24"/>
          <w:szCs w:val="24"/>
          <w:rtl/>
        </w:rPr>
        <w:t xml:space="preserve"> שתיהן באמצעות הלשכה לסיוע משפטי.   </w:t>
      </w:r>
    </w:p>
    <w:p w:rsidR="008771D6" w:rsidRPr="008771D6" w:rsidRDefault="008771D6" w:rsidP="008771D6">
      <w:pPr>
        <w:spacing w:after="0" w:line="240" w:lineRule="auto"/>
        <w:ind w:left="720"/>
        <w:contextualSpacing/>
        <w:rPr>
          <w:rFonts w:ascii="Arial" w:eastAsia="Times New Roman" w:hAnsi="Arial" w:cs="David"/>
          <w:sz w:val="24"/>
          <w:szCs w:val="24"/>
          <w:rtl/>
        </w:rPr>
      </w:pPr>
    </w:p>
    <w:p w:rsidR="008771D6" w:rsidRPr="008771D6" w:rsidRDefault="008771D6" w:rsidP="008771D6">
      <w:pPr>
        <w:numPr>
          <w:ilvl w:val="0"/>
          <w:numId w:val="1"/>
        </w:numPr>
        <w:spacing w:after="0" w:line="360" w:lineRule="auto"/>
        <w:ind w:left="794" w:hanging="567"/>
        <w:contextualSpacing/>
        <w:jc w:val="both"/>
        <w:rPr>
          <w:rFonts w:ascii="Arial" w:eastAsia="Times New Roman" w:hAnsi="Arial" w:cs="David"/>
          <w:sz w:val="24"/>
          <w:szCs w:val="24"/>
        </w:rPr>
      </w:pPr>
      <w:r w:rsidRPr="008771D6">
        <w:rPr>
          <w:rFonts w:ascii="Arial" w:eastAsia="Times New Roman" w:hAnsi="Arial" w:cs="David" w:hint="cs"/>
          <w:sz w:val="24"/>
          <w:szCs w:val="24"/>
          <w:rtl/>
        </w:rPr>
        <w:t xml:space="preserve">בית המשפט קמא קיים דיונים מספר והוגשו לפניו תסקירים של עו"ס לסדרי דין ודיווחי </w:t>
      </w:r>
      <w:proofErr w:type="spellStart"/>
      <w:r w:rsidRPr="008771D6">
        <w:rPr>
          <w:rFonts w:ascii="Arial" w:eastAsia="Times New Roman" w:hAnsi="Arial" w:cs="David" w:hint="cs"/>
          <w:sz w:val="24"/>
          <w:szCs w:val="24"/>
          <w:rtl/>
        </w:rPr>
        <w:t>האפוטרופה</w:t>
      </w:r>
      <w:proofErr w:type="spellEnd"/>
      <w:r w:rsidRPr="008771D6">
        <w:rPr>
          <w:rFonts w:ascii="Arial" w:eastAsia="Times New Roman" w:hAnsi="Arial" w:cs="David" w:hint="cs"/>
          <w:sz w:val="24"/>
          <w:szCs w:val="24"/>
          <w:rtl/>
        </w:rPr>
        <w:t xml:space="preserve"> לדין של הקטינים.</w:t>
      </w:r>
    </w:p>
    <w:p w:rsidR="008771D6" w:rsidRPr="008771D6" w:rsidRDefault="008771D6" w:rsidP="008771D6">
      <w:pPr>
        <w:spacing w:after="0" w:line="240" w:lineRule="auto"/>
        <w:ind w:left="720"/>
        <w:contextualSpacing/>
        <w:rPr>
          <w:rFonts w:ascii="Arial" w:eastAsia="Times New Roman" w:hAnsi="Arial" w:cs="David"/>
          <w:sz w:val="24"/>
          <w:szCs w:val="24"/>
          <w:rtl/>
        </w:rPr>
      </w:pPr>
    </w:p>
    <w:p w:rsidR="008771D6" w:rsidRPr="008771D6" w:rsidRDefault="008771D6" w:rsidP="008771D6">
      <w:pPr>
        <w:numPr>
          <w:ilvl w:val="0"/>
          <w:numId w:val="1"/>
        </w:numPr>
        <w:spacing w:after="0" w:line="360" w:lineRule="auto"/>
        <w:ind w:left="794" w:hanging="567"/>
        <w:contextualSpacing/>
        <w:jc w:val="both"/>
        <w:rPr>
          <w:rFonts w:ascii="Arial" w:eastAsia="Times New Roman" w:hAnsi="Arial" w:cs="David"/>
          <w:sz w:val="24"/>
          <w:szCs w:val="24"/>
        </w:rPr>
      </w:pPr>
      <w:r w:rsidRPr="008771D6">
        <w:rPr>
          <w:rFonts w:ascii="Arial" w:eastAsia="Times New Roman" w:hAnsi="Arial" w:cs="David" w:hint="cs"/>
          <w:sz w:val="24"/>
          <w:szCs w:val="24"/>
          <w:rtl/>
        </w:rPr>
        <w:t xml:space="preserve">ההליכים נקבעו לשמיעת ראיות ביום 01.02.2023. כעולה מפרוטוקול הדיון, במהלך הישיבה האמורה, בה נכחו הצדדים, באי כוחם </w:t>
      </w:r>
      <w:proofErr w:type="spellStart"/>
      <w:r w:rsidRPr="008771D6">
        <w:rPr>
          <w:rFonts w:ascii="Arial" w:eastAsia="Times New Roman" w:hAnsi="Arial" w:cs="David" w:hint="cs"/>
          <w:sz w:val="24"/>
          <w:szCs w:val="24"/>
          <w:rtl/>
        </w:rPr>
        <w:t>והאפוטרופה</w:t>
      </w:r>
      <w:proofErr w:type="spellEnd"/>
      <w:r w:rsidRPr="008771D6">
        <w:rPr>
          <w:rFonts w:ascii="Arial" w:eastAsia="Times New Roman" w:hAnsi="Arial" w:cs="David" w:hint="cs"/>
          <w:sz w:val="24"/>
          <w:szCs w:val="24"/>
          <w:rtl/>
        </w:rPr>
        <w:t xml:space="preserve"> לדין, התקיים שיח בין הצדדים, מרביתו מחוץ לפרוטוקול, ועלה בידיהם להגיע להסדר פשרה, המסיים, דה פקטו, כלל המחלוקות ביניהם. ההסכמות שגובשו על ידם תועדו בפרוטוקול הדיון, נוסחו כהסכם ובו מקום לחתימתם, חתמו עליו יחד עם באי כוחם ובית המשפט קמא אישרן ונתן להן תוקף של החלטה.</w:t>
      </w:r>
    </w:p>
    <w:p w:rsidR="008771D6" w:rsidRPr="008771D6" w:rsidRDefault="008771D6" w:rsidP="008771D6">
      <w:pPr>
        <w:spacing w:after="0" w:line="240" w:lineRule="auto"/>
        <w:ind w:left="720"/>
        <w:contextualSpacing/>
        <w:rPr>
          <w:rFonts w:ascii="Arial" w:eastAsia="Times New Roman" w:hAnsi="Arial" w:cs="David"/>
          <w:sz w:val="24"/>
          <w:szCs w:val="24"/>
          <w:rtl/>
        </w:rPr>
      </w:pPr>
    </w:p>
    <w:p w:rsidR="008771D6" w:rsidRDefault="008771D6" w:rsidP="008771D6">
      <w:pPr>
        <w:numPr>
          <w:ilvl w:val="0"/>
          <w:numId w:val="1"/>
        </w:numPr>
        <w:spacing w:after="0" w:line="360" w:lineRule="auto"/>
        <w:ind w:left="794" w:hanging="567"/>
        <w:contextualSpacing/>
        <w:jc w:val="both"/>
        <w:rPr>
          <w:rFonts w:ascii="Arial" w:eastAsia="Times New Roman" w:hAnsi="Arial" w:cs="David"/>
          <w:sz w:val="24"/>
          <w:szCs w:val="24"/>
        </w:rPr>
      </w:pPr>
      <w:r w:rsidRPr="008771D6">
        <w:rPr>
          <w:rFonts w:ascii="Arial" w:eastAsia="Times New Roman" w:hAnsi="Arial" w:cs="David" w:hint="cs"/>
          <w:sz w:val="24"/>
          <w:szCs w:val="24"/>
          <w:rtl/>
        </w:rPr>
        <w:t xml:space="preserve">בתמצית יצוין, כי בהתאם למוסכם ביניהם, התקבלה תביעת המשיבה להגירת הקטינים לארה"ב בכפוף </w:t>
      </w:r>
      <w:proofErr w:type="spellStart"/>
      <w:r w:rsidRPr="008771D6">
        <w:rPr>
          <w:rFonts w:ascii="Arial" w:eastAsia="Times New Roman" w:hAnsi="Arial" w:cs="David" w:hint="cs"/>
          <w:sz w:val="24"/>
          <w:szCs w:val="24"/>
          <w:rtl/>
        </w:rPr>
        <w:t>לתניות</w:t>
      </w:r>
      <w:proofErr w:type="spellEnd"/>
      <w:r w:rsidRPr="008771D6">
        <w:rPr>
          <w:rFonts w:ascii="Arial" w:eastAsia="Times New Roman" w:hAnsi="Arial" w:cs="David" w:hint="cs"/>
          <w:sz w:val="24"/>
          <w:szCs w:val="24"/>
          <w:rtl/>
        </w:rPr>
        <w:t xml:space="preserve"> שנקבעו בעניין הסדרי הקשר שלהם עם המבקש; נקבע גובה המזונות החודשיים שעל המבקש לשלם עבור הקטינים; הוסדרו עניינים הקשורים בחינוך הקטינים בארה"ב  ואורח החיים שינהלו שם ושמירה על זהותם היהודית; נקבע כי ההסכם יאושר בארה"ב כפסק חוץ; הוסדר עניין הרכב המשותף; ונקבע עוד, כי באי כוח הצדדים יבואו ביניהם בדברים לצורך גיבוש הסכם כולל על יסוד העקרונות הללו, והסכם כאמור יוגש לאישור בית המשפט תוך 30 יום. בנוסף הוסכם, כי ככל שיוותרו מחלוקות </w:t>
      </w:r>
    </w:p>
    <w:p w:rsidR="008771D6" w:rsidRDefault="008771D6" w:rsidP="008771D6">
      <w:pPr>
        <w:pStyle w:val="a8"/>
        <w:rPr>
          <w:rFonts w:ascii="Arial" w:eastAsia="Times New Roman" w:hAnsi="Arial" w:cs="David"/>
          <w:sz w:val="24"/>
          <w:szCs w:val="24"/>
          <w:rtl/>
        </w:rPr>
      </w:pPr>
    </w:p>
    <w:p w:rsidR="008771D6" w:rsidRDefault="008771D6" w:rsidP="008771D6">
      <w:pPr>
        <w:spacing w:after="0" w:line="360" w:lineRule="auto"/>
        <w:ind w:left="794"/>
        <w:contextualSpacing/>
        <w:jc w:val="both"/>
        <w:rPr>
          <w:rFonts w:ascii="Arial" w:eastAsia="Times New Roman" w:hAnsi="Arial" w:cs="David"/>
          <w:sz w:val="24"/>
          <w:szCs w:val="24"/>
          <w:rtl/>
        </w:rPr>
      </w:pPr>
    </w:p>
    <w:p w:rsidR="008771D6" w:rsidRPr="008771D6" w:rsidRDefault="008771D6" w:rsidP="008771D6">
      <w:pPr>
        <w:spacing w:after="0" w:line="360" w:lineRule="auto"/>
        <w:ind w:left="794"/>
        <w:contextualSpacing/>
        <w:jc w:val="both"/>
        <w:rPr>
          <w:rFonts w:ascii="Arial" w:eastAsia="Times New Roman" w:hAnsi="Arial" w:cs="David"/>
          <w:sz w:val="24"/>
          <w:szCs w:val="24"/>
        </w:rPr>
      </w:pPr>
      <w:r w:rsidRPr="008771D6">
        <w:rPr>
          <w:rFonts w:ascii="Arial" w:eastAsia="Times New Roman" w:hAnsi="Arial" w:cs="David" w:hint="cs"/>
          <w:sz w:val="24"/>
          <w:szCs w:val="24"/>
          <w:rtl/>
        </w:rPr>
        <w:t xml:space="preserve">שלא יעלה בידי הצדדים ליישב ביניהם, יוסמך בית המשפט להכריע בהן בהתאם להוראת סעיף 79א(א) לחוק בתי המשפט.     </w:t>
      </w:r>
    </w:p>
    <w:p w:rsidR="008771D6" w:rsidRPr="008771D6" w:rsidRDefault="008771D6" w:rsidP="008771D6">
      <w:pPr>
        <w:spacing w:after="0" w:line="240" w:lineRule="auto"/>
        <w:ind w:left="1080"/>
        <w:contextualSpacing/>
        <w:jc w:val="both"/>
        <w:rPr>
          <w:rFonts w:ascii="Arial" w:eastAsia="Times New Roman" w:hAnsi="Arial" w:cs="David"/>
          <w:sz w:val="24"/>
          <w:szCs w:val="24"/>
        </w:rPr>
      </w:pPr>
    </w:p>
    <w:p w:rsidR="008771D6" w:rsidRPr="008771D6" w:rsidRDefault="008771D6" w:rsidP="008771D6">
      <w:pPr>
        <w:numPr>
          <w:ilvl w:val="0"/>
          <w:numId w:val="1"/>
        </w:numPr>
        <w:spacing w:after="0" w:line="360" w:lineRule="auto"/>
        <w:ind w:left="794" w:hanging="567"/>
        <w:contextualSpacing/>
        <w:jc w:val="both"/>
        <w:rPr>
          <w:rFonts w:ascii="Arial" w:eastAsia="Times New Roman" w:hAnsi="Arial" w:cs="David"/>
          <w:sz w:val="24"/>
          <w:szCs w:val="24"/>
        </w:rPr>
      </w:pPr>
      <w:r w:rsidRPr="008771D6">
        <w:rPr>
          <w:rFonts w:ascii="Arial" w:eastAsia="Times New Roman" w:hAnsi="Arial" w:cs="David"/>
          <w:sz w:val="24"/>
          <w:szCs w:val="24"/>
          <w:rtl/>
        </w:rPr>
        <w:t xml:space="preserve">ביום 21.02.2023 </w:t>
      </w:r>
      <w:r w:rsidRPr="008771D6">
        <w:rPr>
          <w:rFonts w:ascii="Arial" w:eastAsia="Times New Roman" w:hAnsi="Arial" w:cs="David" w:hint="cs"/>
          <w:sz w:val="24"/>
          <w:szCs w:val="24"/>
          <w:rtl/>
        </w:rPr>
        <w:t xml:space="preserve">פנה המבקש לבית המשפט, לאחר שייצוגו התחלף, באמצעות באת כוחו החדשה, המייצגת אותו גם בהליך דנא, בבקשה שהוכתרה כבקשה </w:t>
      </w:r>
      <w:r w:rsidRPr="008771D6">
        <w:rPr>
          <w:rFonts w:ascii="Arial" w:eastAsia="Times New Roman" w:hAnsi="Arial" w:cs="David"/>
          <w:sz w:val="24"/>
          <w:szCs w:val="24"/>
          <w:rtl/>
        </w:rPr>
        <w:t>לביטול ההחלטה בדבר העתקת מקום מגורי הקטינים לארה"ב</w:t>
      </w:r>
      <w:r w:rsidRPr="008771D6">
        <w:rPr>
          <w:rFonts w:ascii="Arial" w:eastAsia="Times New Roman" w:hAnsi="Arial" w:cs="David" w:hint="cs"/>
          <w:sz w:val="24"/>
          <w:szCs w:val="24"/>
          <w:rtl/>
        </w:rPr>
        <w:t>.</w:t>
      </w:r>
    </w:p>
    <w:p w:rsidR="008771D6" w:rsidRPr="008771D6" w:rsidRDefault="008771D6" w:rsidP="008771D6">
      <w:pPr>
        <w:spacing w:after="0" w:line="240" w:lineRule="auto"/>
        <w:ind w:left="720"/>
        <w:contextualSpacing/>
        <w:rPr>
          <w:rFonts w:ascii="Arial" w:eastAsia="Times New Roman" w:hAnsi="Arial" w:cs="David"/>
          <w:sz w:val="24"/>
          <w:szCs w:val="24"/>
          <w:rtl/>
        </w:rPr>
      </w:pPr>
    </w:p>
    <w:p w:rsidR="008771D6" w:rsidRPr="008771D6" w:rsidRDefault="008771D6" w:rsidP="008771D6">
      <w:pPr>
        <w:numPr>
          <w:ilvl w:val="0"/>
          <w:numId w:val="1"/>
        </w:numPr>
        <w:spacing w:after="0" w:line="360" w:lineRule="auto"/>
        <w:ind w:left="794" w:hanging="567"/>
        <w:contextualSpacing/>
        <w:jc w:val="both"/>
        <w:rPr>
          <w:rFonts w:ascii="Arial" w:eastAsia="Times New Roman" w:hAnsi="Arial" w:cs="David"/>
          <w:sz w:val="24"/>
          <w:szCs w:val="24"/>
          <w:rtl/>
        </w:rPr>
      </w:pPr>
      <w:r w:rsidRPr="008771D6">
        <w:rPr>
          <w:rFonts w:ascii="Arial" w:eastAsia="Times New Roman" w:hAnsi="Arial" w:cs="David" w:hint="cs"/>
          <w:sz w:val="24"/>
          <w:szCs w:val="24"/>
          <w:rtl/>
        </w:rPr>
        <w:t xml:space="preserve">לאחר שנתקבלה תגובת המשיבה, התקיים דיון בבקשה במסגרתו נשמעו טענותיהם והמבקש נחקר ע"י בית המשפט, ע"י ב"כ המשיבה וע"י </w:t>
      </w:r>
      <w:proofErr w:type="spellStart"/>
      <w:r w:rsidRPr="008771D6">
        <w:rPr>
          <w:rFonts w:ascii="Arial" w:eastAsia="Times New Roman" w:hAnsi="Arial" w:cs="David" w:hint="cs"/>
          <w:sz w:val="24"/>
          <w:szCs w:val="24"/>
          <w:rtl/>
        </w:rPr>
        <w:t>האפוטרופה</w:t>
      </w:r>
      <w:proofErr w:type="spellEnd"/>
      <w:r w:rsidRPr="008771D6">
        <w:rPr>
          <w:rFonts w:ascii="Arial" w:eastAsia="Times New Roman" w:hAnsi="Arial" w:cs="David" w:hint="cs"/>
          <w:sz w:val="24"/>
          <w:szCs w:val="24"/>
          <w:rtl/>
        </w:rPr>
        <w:t xml:space="preserve"> לדין.</w:t>
      </w:r>
    </w:p>
    <w:p w:rsidR="008771D6" w:rsidRPr="008771D6" w:rsidRDefault="008771D6" w:rsidP="008771D6">
      <w:pPr>
        <w:spacing w:after="0" w:line="240" w:lineRule="auto"/>
        <w:ind w:left="720"/>
        <w:contextualSpacing/>
        <w:rPr>
          <w:rFonts w:ascii="Arial" w:eastAsia="Times New Roman" w:hAnsi="Arial" w:cs="David"/>
          <w:sz w:val="24"/>
          <w:szCs w:val="24"/>
        </w:rPr>
      </w:pPr>
    </w:p>
    <w:p w:rsidR="008771D6" w:rsidRPr="008771D6" w:rsidRDefault="008771D6" w:rsidP="008771D6">
      <w:pPr>
        <w:numPr>
          <w:ilvl w:val="0"/>
          <w:numId w:val="1"/>
        </w:numPr>
        <w:spacing w:after="0" w:line="360" w:lineRule="auto"/>
        <w:ind w:left="794" w:hanging="567"/>
        <w:contextualSpacing/>
        <w:jc w:val="both"/>
        <w:rPr>
          <w:rFonts w:ascii="Arial" w:eastAsia="Times New Roman" w:hAnsi="Arial" w:cs="David"/>
          <w:sz w:val="24"/>
          <w:szCs w:val="24"/>
        </w:rPr>
      </w:pPr>
      <w:r w:rsidRPr="008771D6">
        <w:rPr>
          <w:rFonts w:ascii="Arial" w:eastAsia="Times New Roman" w:hAnsi="Arial" w:cs="David" w:hint="cs"/>
          <w:sz w:val="24"/>
          <w:szCs w:val="24"/>
          <w:rtl/>
        </w:rPr>
        <w:t xml:space="preserve">בית המשפט הוציא תחת ידיו ביום 01.05.2023 החלטה מנומקת ומפורטת, היא ההחלטה נושא הבקשה שלפנינו, על פיה נדחתה, כאמור בקשת המבקש. </w:t>
      </w:r>
    </w:p>
    <w:p w:rsidR="008771D6" w:rsidRPr="008771D6" w:rsidRDefault="008771D6" w:rsidP="008771D6">
      <w:pPr>
        <w:spacing w:after="0" w:line="240" w:lineRule="auto"/>
        <w:ind w:left="720"/>
        <w:contextualSpacing/>
        <w:rPr>
          <w:rFonts w:ascii="Arial" w:eastAsia="Times New Roman" w:hAnsi="Arial" w:cs="David"/>
          <w:sz w:val="26"/>
          <w:szCs w:val="26"/>
          <w:rtl/>
        </w:rPr>
      </w:pPr>
    </w:p>
    <w:p w:rsidR="008771D6" w:rsidRPr="008771D6" w:rsidRDefault="008771D6" w:rsidP="008771D6">
      <w:pPr>
        <w:spacing w:after="0" w:line="360" w:lineRule="auto"/>
        <w:ind w:left="227"/>
        <w:contextualSpacing/>
        <w:jc w:val="both"/>
        <w:rPr>
          <w:rFonts w:ascii="Arial" w:eastAsia="Times New Roman" w:hAnsi="Arial" w:cs="David"/>
          <w:sz w:val="26"/>
          <w:szCs w:val="26"/>
        </w:rPr>
      </w:pPr>
      <w:r w:rsidRPr="008771D6">
        <w:rPr>
          <w:rFonts w:ascii="Arial" w:eastAsia="Times New Roman" w:hAnsi="Arial" w:cs="David" w:hint="cs"/>
          <w:b/>
          <w:bCs/>
          <w:sz w:val="26"/>
          <w:szCs w:val="26"/>
          <w:u w:val="single"/>
          <w:rtl/>
        </w:rPr>
        <w:t xml:space="preserve">עיקרי ההחלטה נושא הבקשה </w:t>
      </w:r>
    </w:p>
    <w:p w:rsidR="008771D6" w:rsidRPr="008771D6" w:rsidRDefault="008771D6" w:rsidP="008771D6">
      <w:pPr>
        <w:spacing w:after="0" w:line="240" w:lineRule="auto"/>
        <w:ind w:left="720"/>
        <w:contextualSpacing/>
        <w:rPr>
          <w:rFonts w:ascii="Arial" w:eastAsia="Times New Roman" w:hAnsi="Arial" w:cs="David"/>
          <w:sz w:val="24"/>
          <w:szCs w:val="24"/>
          <w:rtl/>
        </w:rPr>
      </w:pPr>
    </w:p>
    <w:p w:rsidR="008771D6" w:rsidRPr="008771D6" w:rsidRDefault="008771D6" w:rsidP="008771D6">
      <w:pPr>
        <w:numPr>
          <w:ilvl w:val="0"/>
          <w:numId w:val="1"/>
        </w:numPr>
        <w:spacing w:after="0" w:line="360" w:lineRule="auto"/>
        <w:ind w:left="794" w:hanging="567"/>
        <w:contextualSpacing/>
        <w:jc w:val="both"/>
        <w:rPr>
          <w:rFonts w:ascii="Arial" w:eastAsia="Times New Roman" w:hAnsi="Arial" w:cs="David"/>
          <w:sz w:val="24"/>
          <w:szCs w:val="24"/>
        </w:rPr>
      </w:pPr>
      <w:r w:rsidRPr="008771D6">
        <w:rPr>
          <w:rFonts w:ascii="Arial" w:eastAsia="Times New Roman" w:hAnsi="Arial" w:cs="David"/>
          <w:sz w:val="24"/>
          <w:szCs w:val="24"/>
          <w:rtl/>
        </w:rPr>
        <w:t xml:space="preserve">במסגרת ההחלטה ערך בית המשפט </w:t>
      </w:r>
      <w:r w:rsidRPr="008771D6">
        <w:rPr>
          <w:rFonts w:ascii="Arial" w:eastAsia="Times New Roman" w:hAnsi="Arial" w:cs="David" w:hint="cs"/>
          <w:sz w:val="24"/>
          <w:szCs w:val="24"/>
          <w:rtl/>
        </w:rPr>
        <w:t>ה</w:t>
      </w:r>
      <w:r w:rsidRPr="008771D6">
        <w:rPr>
          <w:rFonts w:ascii="Arial" w:eastAsia="Times New Roman" w:hAnsi="Arial" w:cs="David"/>
          <w:sz w:val="24"/>
          <w:szCs w:val="24"/>
          <w:rtl/>
        </w:rPr>
        <w:t xml:space="preserve">בחנה בין הסדר דיוני </w:t>
      </w:r>
      <w:r w:rsidRPr="008771D6">
        <w:rPr>
          <w:rFonts w:ascii="Arial" w:eastAsia="Times New Roman" w:hAnsi="Arial" w:cs="David" w:hint="cs"/>
          <w:sz w:val="24"/>
          <w:szCs w:val="24"/>
          <w:rtl/>
        </w:rPr>
        <w:t>ל</w:t>
      </w:r>
      <w:r w:rsidRPr="008771D6">
        <w:rPr>
          <w:rFonts w:ascii="Arial" w:eastAsia="Times New Roman" w:hAnsi="Arial" w:cs="David"/>
          <w:sz w:val="24"/>
          <w:szCs w:val="24"/>
          <w:rtl/>
        </w:rPr>
        <w:t>הסכם פשרה</w:t>
      </w:r>
      <w:r w:rsidRPr="008771D6">
        <w:rPr>
          <w:rFonts w:ascii="Arial" w:eastAsia="Times New Roman" w:hAnsi="Arial" w:cs="David" w:hint="cs"/>
          <w:sz w:val="24"/>
          <w:szCs w:val="24"/>
          <w:rtl/>
        </w:rPr>
        <w:t xml:space="preserve"> בהקשר הנדון</w:t>
      </w:r>
      <w:r w:rsidRPr="008771D6">
        <w:rPr>
          <w:rFonts w:ascii="Arial" w:eastAsia="Times New Roman" w:hAnsi="Arial" w:cs="David"/>
          <w:sz w:val="24"/>
          <w:szCs w:val="24"/>
          <w:rtl/>
        </w:rPr>
        <w:t>,</w:t>
      </w:r>
      <w:r w:rsidRPr="008771D6">
        <w:rPr>
          <w:rFonts w:ascii="Arial" w:eastAsia="Times New Roman" w:hAnsi="Arial" w:cs="David" w:hint="cs"/>
          <w:sz w:val="24"/>
          <w:szCs w:val="24"/>
          <w:rtl/>
        </w:rPr>
        <w:t xml:space="preserve"> דהיינו ביטול החלטה שיפוטית המאשרת </w:t>
      </w:r>
      <w:r w:rsidRPr="008771D6">
        <w:rPr>
          <w:rFonts w:ascii="Arial" w:eastAsia="Times New Roman" w:hAnsi="Arial" w:cs="David"/>
          <w:sz w:val="24"/>
          <w:szCs w:val="24"/>
          <w:rtl/>
        </w:rPr>
        <w:t xml:space="preserve"> </w:t>
      </w:r>
      <w:r w:rsidRPr="008771D6">
        <w:rPr>
          <w:rFonts w:ascii="Arial" w:eastAsia="Times New Roman" w:hAnsi="Arial" w:cs="David" w:hint="cs"/>
          <w:sz w:val="24"/>
          <w:szCs w:val="24"/>
          <w:rtl/>
        </w:rPr>
        <w:t>אותם, והגיע למסקנה כי במקרה דנא עסקינן בהסכם פשרה-מהותי, הגם שהוסכם במסגרתו, בין היתר, כי עקרונותיו ינוסחו בידי באי כוח הצדדים כהסכם כולל שיובא לאישור בית המשפט.</w:t>
      </w:r>
    </w:p>
    <w:p w:rsidR="008771D6" w:rsidRPr="008771D6" w:rsidRDefault="008771D6" w:rsidP="008771D6">
      <w:pPr>
        <w:spacing w:after="0" w:line="360" w:lineRule="auto"/>
        <w:ind w:left="794"/>
        <w:contextualSpacing/>
        <w:jc w:val="both"/>
        <w:rPr>
          <w:rFonts w:ascii="Arial" w:eastAsia="Times New Roman" w:hAnsi="Arial" w:cs="David"/>
          <w:sz w:val="24"/>
          <w:szCs w:val="24"/>
        </w:rPr>
      </w:pPr>
    </w:p>
    <w:p w:rsidR="008771D6" w:rsidRPr="008771D6" w:rsidRDefault="008771D6" w:rsidP="008771D6">
      <w:pPr>
        <w:numPr>
          <w:ilvl w:val="0"/>
          <w:numId w:val="1"/>
        </w:numPr>
        <w:spacing w:after="0" w:line="360" w:lineRule="auto"/>
        <w:ind w:left="794" w:hanging="567"/>
        <w:contextualSpacing/>
        <w:jc w:val="both"/>
        <w:rPr>
          <w:rFonts w:ascii="Arial" w:eastAsia="Times New Roman" w:hAnsi="Arial" w:cs="David"/>
          <w:sz w:val="24"/>
          <w:szCs w:val="24"/>
        </w:rPr>
      </w:pPr>
      <w:r w:rsidRPr="008771D6">
        <w:rPr>
          <w:rFonts w:ascii="Arial" w:eastAsia="Times New Roman" w:hAnsi="Arial" w:cs="David" w:hint="cs"/>
          <w:sz w:val="24"/>
          <w:szCs w:val="24"/>
          <w:rtl/>
        </w:rPr>
        <w:t>עוד נקבע, כי טענות המבקש עליהן נשענת הבקשה הן במישור ההסכמי, להבדיל מזה השיפוטי לצד טענות נוספות הקשורות בטובת הקטינים.</w:t>
      </w:r>
    </w:p>
    <w:p w:rsidR="008771D6" w:rsidRPr="008771D6" w:rsidRDefault="008771D6" w:rsidP="008771D6">
      <w:pPr>
        <w:spacing w:after="0" w:line="240" w:lineRule="auto"/>
        <w:ind w:left="720"/>
        <w:contextualSpacing/>
        <w:rPr>
          <w:rFonts w:ascii="Arial" w:eastAsia="Times New Roman" w:hAnsi="Arial" w:cs="David"/>
          <w:sz w:val="24"/>
          <w:szCs w:val="24"/>
          <w:rtl/>
        </w:rPr>
      </w:pPr>
    </w:p>
    <w:p w:rsidR="008771D6" w:rsidRPr="008771D6" w:rsidRDefault="008771D6" w:rsidP="008771D6">
      <w:pPr>
        <w:numPr>
          <w:ilvl w:val="0"/>
          <w:numId w:val="1"/>
        </w:numPr>
        <w:spacing w:after="0" w:line="360" w:lineRule="auto"/>
        <w:ind w:left="794" w:hanging="567"/>
        <w:contextualSpacing/>
        <w:jc w:val="both"/>
        <w:rPr>
          <w:rFonts w:ascii="Arial" w:eastAsia="Times New Roman" w:hAnsi="Arial" w:cs="David"/>
          <w:sz w:val="24"/>
          <w:szCs w:val="24"/>
        </w:rPr>
      </w:pPr>
      <w:r w:rsidRPr="008771D6">
        <w:rPr>
          <w:rFonts w:ascii="Arial" w:eastAsia="Times New Roman" w:hAnsi="Arial" w:cs="David" w:hint="cs"/>
          <w:sz w:val="24"/>
          <w:szCs w:val="24"/>
          <w:rtl/>
        </w:rPr>
        <w:t>בית המשפט התייחס לכל טענות המבקש בעניין פגמים ברצון, לכאורה,  ולאחר שניתח אותן בראי הדין, הנסיבות, התשתית הראייתית שלפניו והשכל הישר הגיע למסקנה, כי דינן להידחות.</w:t>
      </w:r>
    </w:p>
    <w:p w:rsidR="008771D6" w:rsidRPr="008771D6" w:rsidRDefault="008771D6" w:rsidP="008771D6">
      <w:pPr>
        <w:spacing w:after="0" w:line="240" w:lineRule="auto"/>
        <w:ind w:left="720"/>
        <w:contextualSpacing/>
        <w:rPr>
          <w:rFonts w:ascii="Arial" w:eastAsia="Times New Roman" w:hAnsi="Arial" w:cs="David"/>
          <w:sz w:val="24"/>
          <w:szCs w:val="24"/>
          <w:rtl/>
        </w:rPr>
      </w:pPr>
    </w:p>
    <w:p w:rsidR="008771D6" w:rsidRPr="008771D6" w:rsidRDefault="008771D6" w:rsidP="008771D6">
      <w:pPr>
        <w:numPr>
          <w:ilvl w:val="0"/>
          <w:numId w:val="1"/>
        </w:numPr>
        <w:spacing w:after="0" w:line="360" w:lineRule="auto"/>
        <w:ind w:left="794" w:hanging="567"/>
        <w:contextualSpacing/>
        <w:jc w:val="both"/>
        <w:rPr>
          <w:rFonts w:ascii="Arial" w:eastAsia="Times New Roman" w:hAnsi="Arial" w:cs="David"/>
          <w:sz w:val="24"/>
          <w:szCs w:val="24"/>
        </w:rPr>
      </w:pPr>
      <w:r w:rsidRPr="008771D6">
        <w:rPr>
          <w:rFonts w:ascii="Arial" w:eastAsia="Times New Roman" w:hAnsi="Arial" w:cs="David" w:hint="cs"/>
          <w:sz w:val="24"/>
          <w:szCs w:val="24"/>
          <w:rtl/>
        </w:rPr>
        <w:t xml:space="preserve">ובאשר לטענות המבקש הנסובות סביב טובת הקטינים נמצא, כי אין להן אחיזה בתשתית הראייתית ובמסד העובדתי שנפרסו בפני בית המשפט ואף לא בהמלצות </w:t>
      </w:r>
      <w:proofErr w:type="spellStart"/>
      <w:r w:rsidRPr="008771D6">
        <w:rPr>
          <w:rFonts w:ascii="Arial" w:eastAsia="Times New Roman" w:hAnsi="Arial" w:cs="David" w:hint="cs"/>
          <w:sz w:val="24"/>
          <w:szCs w:val="24"/>
          <w:rtl/>
        </w:rPr>
        <w:t>העו"ס</w:t>
      </w:r>
      <w:proofErr w:type="spellEnd"/>
      <w:r w:rsidRPr="008771D6">
        <w:rPr>
          <w:rFonts w:ascii="Arial" w:eastAsia="Times New Roman" w:hAnsi="Arial" w:cs="David" w:hint="cs"/>
          <w:sz w:val="24"/>
          <w:szCs w:val="24"/>
          <w:rtl/>
        </w:rPr>
        <w:t xml:space="preserve"> לסדרי דין באשר הובאו בתסקירה ובעמדת </w:t>
      </w:r>
      <w:proofErr w:type="spellStart"/>
      <w:r w:rsidRPr="008771D6">
        <w:rPr>
          <w:rFonts w:ascii="Arial" w:eastAsia="Times New Roman" w:hAnsi="Arial" w:cs="David" w:hint="cs"/>
          <w:sz w:val="24"/>
          <w:szCs w:val="24"/>
          <w:rtl/>
        </w:rPr>
        <w:t>אפוטרופסיתם</w:t>
      </w:r>
      <w:proofErr w:type="spellEnd"/>
      <w:r w:rsidRPr="008771D6">
        <w:rPr>
          <w:rFonts w:ascii="Arial" w:eastAsia="Times New Roman" w:hAnsi="Arial" w:cs="David" w:hint="cs"/>
          <w:sz w:val="24"/>
          <w:szCs w:val="24"/>
          <w:rtl/>
        </w:rPr>
        <w:t xml:space="preserve"> לדין של הקטינים. </w:t>
      </w:r>
    </w:p>
    <w:p w:rsidR="008771D6" w:rsidRPr="008771D6" w:rsidRDefault="008771D6" w:rsidP="008771D6">
      <w:pPr>
        <w:spacing w:after="0" w:line="240" w:lineRule="auto"/>
        <w:ind w:left="720"/>
        <w:contextualSpacing/>
        <w:rPr>
          <w:rFonts w:ascii="Arial" w:eastAsia="Times New Roman" w:hAnsi="Arial" w:cs="David"/>
          <w:sz w:val="24"/>
          <w:szCs w:val="24"/>
          <w:rtl/>
        </w:rPr>
      </w:pPr>
    </w:p>
    <w:p w:rsidR="008771D6" w:rsidRDefault="008771D6" w:rsidP="008771D6">
      <w:pPr>
        <w:numPr>
          <w:ilvl w:val="0"/>
          <w:numId w:val="1"/>
        </w:numPr>
        <w:spacing w:after="0" w:line="360" w:lineRule="auto"/>
        <w:ind w:left="794" w:hanging="567"/>
        <w:contextualSpacing/>
        <w:jc w:val="both"/>
        <w:rPr>
          <w:rFonts w:ascii="Arial" w:eastAsia="Times New Roman" w:hAnsi="Arial" w:cs="David"/>
          <w:sz w:val="24"/>
          <w:szCs w:val="24"/>
        </w:rPr>
      </w:pPr>
      <w:r w:rsidRPr="008771D6">
        <w:rPr>
          <w:rFonts w:ascii="Arial" w:eastAsia="Times New Roman" w:hAnsi="Arial" w:cs="David" w:hint="cs"/>
          <w:sz w:val="24"/>
          <w:szCs w:val="24"/>
          <w:rtl/>
        </w:rPr>
        <w:t xml:space="preserve">על יסוד הממצאים האמורים, דחה בית המשפט הבקשה לביטול ההחלטה מיום 01.20.2023  וקבע עוד, כי שעה שההסכמות בין הצדדים מפורטות דיין ונוגעות לכלל ההיבטים הקשורים בהגירת הקטינים לארה"ב עם המשיבה, עת כל שנותר להסדרה הוא </w:t>
      </w:r>
    </w:p>
    <w:p w:rsidR="008771D6" w:rsidRDefault="008771D6" w:rsidP="008771D6">
      <w:pPr>
        <w:pStyle w:val="a8"/>
        <w:rPr>
          <w:rFonts w:ascii="Arial" w:eastAsia="Times New Roman" w:hAnsi="Arial" w:cs="David"/>
          <w:sz w:val="24"/>
          <w:szCs w:val="24"/>
          <w:rtl/>
        </w:rPr>
      </w:pPr>
    </w:p>
    <w:p w:rsidR="008771D6" w:rsidRDefault="008771D6" w:rsidP="008771D6">
      <w:pPr>
        <w:spacing w:after="0" w:line="360" w:lineRule="auto"/>
        <w:ind w:left="794"/>
        <w:contextualSpacing/>
        <w:jc w:val="both"/>
        <w:rPr>
          <w:rFonts w:ascii="Arial" w:eastAsia="Times New Roman" w:hAnsi="Arial" w:cs="David"/>
          <w:sz w:val="24"/>
          <w:szCs w:val="24"/>
          <w:rtl/>
        </w:rPr>
      </w:pPr>
    </w:p>
    <w:p w:rsidR="008771D6" w:rsidRDefault="008771D6" w:rsidP="008771D6">
      <w:pPr>
        <w:spacing w:after="0" w:line="360" w:lineRule="auto"/>
        <w:ind w:left="794"/>
        <w:contextualSpacing/>
        <w:jc w:val="both"/>
        <w:rPr>
          <w:rFonts w:ascii="Arial" w:eastAsia="Times New Roman" w:hAnsi="Arial" w:cs="David"/>
          <w:sz w:val="24"/>
          <w:szCs w:val="24"/>
          <w:rtl/>
        </w:rPr>
      </w:pPr>
    </w:p>
    <w:p w:rsidR="008771D6" w:rsidRDefault="008771D6" w:rsidP="008771D6">
      <w:pPr>
        <w:spacing w:after="0" w:line="360" w:lineRule="auto"/>
        <w:ind w:left="794"/>
        <w:contextualSpacing/>
        <w:jc w:val="both"/>
        <w:rPr>
          <w:rFonts w:ascii="Arial" w:eastAsia="Times New Roman" w:hAnsi="Arial" w:cs="David"/>
          <w:sz w:val="24"/>
          <w:szCs w:val="24"/>
          <w:rtl/>
        </w:rPr>
      </w:pPr>
    </w:p>
    <w:p w:rsidR="008771D6" w:rsidRPr="008771D6" w:rsidRDefault="008771D6" w:rsidP="008771D6">
      <w:pPr>
        <w:spacing w:after="0" w:line="360" w:lineRule="auto"/>
        <w:ind w:left="794"/>
        <w:contextualSpacing/>
        <w:jc w:val="both"/>
        <w:rPr>
          <w:rFonts w:ascii="Arial" w:eastAsia="Times New Roman" w:hAnsi="Arial" w:cs="David"/>
          <w:sz w:val="24"/>
          <w:szCs w:val="24"/>
        </w:rPr>
      </w:pPr>
      <w:r w:rsidRPr="008771D6">
        <w:rPr>
          <w:rFonts w:ascii="Arial" w:eastAsia="Times New Roman" w:hAnsi="Arial" w:cs="David" w:hint="cs"/>
          <w:sz w:val="24"/>
          <w:szCs w:val="24"/>
          <w:rtl/>
        </w:rPr>
        <w:t xml:space="preserve">הערבויות להבטחת הקשר בין הקטינים והמבקש, ניתן להסתפק בהן ככתבן וכלשונן ללא כל תוספת או שינוי.   </w:t>
      </w:r>
    </w:p>
    <w:p w:rsidR="008771D6" w:rsidRPr="008771D6" w:rsidRDefault="008771D6" w:rsidP="008771D6">
      <w:pPr>
        <w:spacing w:line="240" w:lineRule="auto"/>
        <w:ind w:left="1080"/>
        <w:contextualSpacing/>
        <w:jc w:val="both"/>
        <w:rPr>
          <w:rFonts w:ascii="David" w:eastAsia="Calibri" w:hAnsi="David" w:cs="David"/>
          <w:b/>
          <w:bCs/>
          <w:sz w:val="26"/>
          <w:szCs w:val="26"/>
          <w:u w:val="single"/>
        </w:rPr>
      </w:pPr>
    </w:p>
    <w:p w:rsidR="008771D6" w:rsidRPr="008771D6" w:rsidRDefault="008771D6" w:rsidP="008771D6">
      <w:pPr>
        <w:spacing w:line="360" w:lineRule="auto"/>
        <w:ind w:left="227"/>
        <w:contextualSpacing/>
        <w:jc w:val="both"/>
        <w:rPr>
          <w:rFonts w:ascii="David" w:eastAsia="Calibri" w:hAnsi="David" w:cs="David"/>
          <w:b/>
          <w:bCs/>
          <w:sz w:val="26"/>
          <w:szCs w:val="26"/>
          <w:u w:val="single"/>
          <w:rtl/>
        </w:rPr>
      </w:pPr>
      <w:r w:rsidRPr="008771D6">
        <w:rPr>
          <w:rFonts w:ascii="David" w:eastAsia="Calibri" w:hAnsi="David" w:cs="David"/>
          <w:b/>
          <w:bCs/>
          <w:sz w:val="26"/>
          <w:szCs w:val="26"/>
          <w:u w:val="single"/>
          <w:rtl/>
        </w:rPr>
        <w:t>תמצית טענות הצדדים</w:t>
      </w:r>
      <w:r w:rsidRPr="008771D6">
        <w:rPr>
          <w:rFonts w:ascii="David" w:eastAsia="Calibri" w:hAnsi="David" w:cs="David" w:hint="cs"/>
          <w:b/>
          <w:bCs/>
          <w:sz w:val="26"/>
          <w:szCs w:val="26"/>
          <w:u w:val="single"/>
          <w:rtl/>
        </w:rPr>
        <w:t xml:space="preserve"> בהליך דנא</w:t>
      </w:r>
    </w:p>
    <w:p w:rsidR="008771D6" w:rsidRPr="008771D6" w:rsidRDefault="008771D6" w:rsidP="008771D6">
      <w:pPr>
        <w:numPr>
          <w:ilvl w:val="0"/>
          <w:numId w:val="1"/>
        </w:numPr>
        <w:spacing w:after="0" w:line="360" w:lineRule="auto"/>
        <w:ind w:left="794" w:hanging="567"/>
        <w:contextualSpacing/>
        <w:jc w:val="both"/>
        <w:rPr>
          <w:rFonts w:ascii="Arial" w:eastAsia="Times New Roman" w:hAnsi="Arial" w:cs="David"/>
          <w:sz w:val="24"/>
          <w:szCs w:val="24"/>
          <w:rtl/>
        </w:rPr>
      </w:pPr>
      <w:r w:rsidRPr="008771D6">
        <w:rPr>
          <w:rFonts w:ascii="Arial" w:eastAsia="Times New Roman" w:hAnsi="Arial" w:cs="David" w:hint="cs"/>
          <w:b/>
          <w:bCs/>
          <w:sz w:val="24"/>
          <w:szCs w:val="24"/>
          <w:rtl/>
        </w:rPr>
        <w:t>לטענת המבקש</w:t>
      </w:r>
      <w:r w:rsidRPr="008771D6">
        <w:rPr>
          <w:rFonts w:ascii="Arial" w:eastAsia="Times New Roman" w:hAnsi="Arial" w:cs="David" w:hint="cs"/>
          <w:sz w:val="24"/>
          <w:szCs w:val="24"/>
          <w:rtl/>
        </w:rPr>
        <w:t xml:space="preserve">, מתווה ההסכמות בין הצדדים מיום 01.02.2023 לא היה על דעתו, הוא לא הבין משמעות ההסכמות והשלכותיהן, ומתנגד בתוקף לקיום המתווה; המתווה לא נחתם בידי הצדדים ולא קיבל תוקף של פסק דין; כן נטען על ידו, כי לכל אורך ניהול ההליכים בבית המשפט קמא הוא הביע התנגדות להגירת הקטינים לארה"ב, הגם שכפי הנראה עמדה זו אינה משתקפת כדבעי מכתבי הטענות באשר הוגשו ע"י באת כוחו הקודמת (ששימשה </w:t>
      </w:r>
      <w:proofErr w:type="spellStart"/>
      <w:r w:rsidRPr="008771D6">
        <w:rPr>
          <w:rFonts w:ascii="Arial" w:eastAsia="Times New Roman" w:hAnsi="Arial" w:cs="David" w:hint="cs"/>
          <w:sz w:val="24"/>
          <w:szCs w:val="24"/>
          <w:rtl/>
        </w:rPr>
        <w:t>כאפוטרופסיתו</w:t>
      </w:r>
      <w:proofErr w:type="spellEnd"/>
      <w:r w:rsidRPr="008771D6">
        <w:rPr>
          <w:rFonts w:ascii="Arial" w:eastAsia="Times New Roman" w:hAnsi="Arial" w:cs="David" w:hint="cs"/>
          <w:sz w:val="24"/>
          <w:szCs w:val="24"/>
          <w:rtl/>
        </w:rPr>
        <w:t xml:space="preserve"> לדין)</w:t>
      </w:r>
      <w:r w:rsidRPr="008771D6">
        <w:rPr>
          <w:rFonts w:ascii="Arial" w:eastAsia="Times New Roman" w:hAnsi="Arial" w:cs="David"/>
          <w:sz w:val="24"/>
          <w:szCs w:val="24"/>
          <w:rtl/>
        </w:rPr>
        <w:t xml:space="preserve">; </w:t>
      </w:r>
      <w:r w:rsidRPr="008771D6">
        <w:rPr>
          <w:rFonts w:ascii="Arial" w:eastAsia="Times New Roman" w:hAnsi="Arial" w:cs="David" w:hint="cs"/>
          <w:sz w:val="24"/>
          <w:szCs w:val="24"/>
          <w:rtl/>
        </w:rPr>
        <w:t>המבקש מוסיף וטוען, כי מתווה ההסכמות התקבל כתוצאה מלחץ שהופעל על הצדדים ע"י באי כוחם וע"י בית המשפט קמא ואינו משקף את רצונו וכוונתו, כי אם את אלו של המשיבה בלבד; לטענתו, עסקינן בהסכם שאינו בר ביצוע, אשר לא ניתן לאוכפו, משהמשיבה מתעתדת לשוב לארה"ב עם הקטינים ובידה אזרחות אמריקאית, ומביע חשש מפני התבוללות הקטינים; כן טוען המבקש, כי פרט לכך שהוא חתם על ההסכם תחת כפיה, הוא עשה כן על מנת לרצות הקטינים, שהורגלו לחשוב כי הגירתם לארה"ב היא המהלך הטוב ביותר עבורם, וחששו מפני כעסם כלפיו; המבקש מציין, כי הוא סובל מהפרעה דו-קוטבית, הגורמת לו חולשה שכלית ועובדה זו לא זכתה להתייחסות לאורך ניהול ההליכים בבית המשפט קמא; בפי המבקש טענות גם כנגד מהימנות התכנית הכלכלית הנוגעת למעבר לארה"ב, באשר הוגשה ע"י המשיבה בהתאם להחלטת בית המשפט; לטענתו, טובת הקטינים מחייבת הותרתם בארץ;</w:t>
      </w:r>
      <w:r w:rsidRPr="008771D6">
        <w:rPr>
          <w:rFonts w:ascii="Arial" w:eastAsia="Times New Roman" w:hAnsi="Arial" w:cs="David"/>
          <w:sz w:val="24"/>
          <w:szCs w:val="24"/>
          <w:rtl/>
        </w:rPr>
        <w:t xml:space="preserve"> </w:t>
      </w:r>
      <w:r w:rsidRPr="008771D6">
        <w:rPr>
          <w:rFonts w:ascii="Arial" w:eastAsia="Times New Roman" w:hAnsi="Arial" w:cs="David" w:hint="cs"/>
          <w:sz w:val="24"/>
          <w:szCs w:val="24"/>
          <w:rtl/>
        </w:rPr>
        <w:t xml:space="preserve">המבקש מלין גם כנגד איכות הייצוג שלו בהליכים בבית משפט קמא בידי </w:t>
      </w:r>
      <w:proofErr w:type="spellStart"/>
      <w:r w:rsidRPr="008771D6">
        <w:rPr>
          <w:rFonts w:ascii="Arial" w:eastAsia="Times New Roman" w:hAnsi="Arial" w:cs="David" w:hint="cs"/>
          <w:sz w:val="24"/>
          <w:szCs w:val="24"/>
          <w:rtl/>
        </w:rPr>
        <w:t>אפוטרופסיתו</w:t>
      </w:r>
      <w:proofErr w:type="spellEnd"/>
      <w:r w:rsidRPr="008771D6">
        <w:rPr>
          <w:rFonts w:ascii="Arial" w:eastAsia="Times New Roman" w:hAnsi="Arial" w:cs="David" w:hint="cs"/>
          <w:sz w:val="24"/>
          <w:szCs w:val="24"/>
          <w:rtl/>
        </w:rPr>
        <w:t xml:space="preserve"> לדין. המבקש טוען, אפוא, כי נפלו כשלים מהותיים באופן בו נתקבלו הסכמות הצדדים ואישורן בידי בית המשפט, ולכן עותר לביטול ההחלטה מיום 01.05.2023 ולהשבת הדיון בתביעה להגירת הקטינים לבית המשפט קמא.  </w:t>
      </w:r>
    </w:p>
    <w:p w:rsidR="008771D6" w:rsidRPr="008771D6" w:rsidRDefault="008771D6" w:rsidP="008771D6">
      <w:pPr>
        <w:spacing w:after="0" w:line="240" w:lineRule="auto"/>
        <w:ind w:left="1080"/>
        <w:contextualSpacing/>
        <w:jc w:val="both"/>
        <w:rPr>
          <w:rFonts w:ascii="Arial" w:eastAsia="Times New Roman" w:hAnsi="Arial" w:cs="David"/>
          <w:sz w:val="24"/>
          <w:szCs w:val="24"/>
        </w:rPr>
      </w:pPr>
    </w:p>
    <w:p w:rsidR="008771D6" w:rsidRPr="008771D6" w:rsidRDefault="008771D6" w:rsidP="008771D6">
      <w:pPr>
        <w:numPr>
          <w:ilvl w:val="0"/>
          <w:numId w:val="1"/>
        </w:numPr>
        <w:spacing w:after="0" w:line="360" w:lineRule="auto"/>
        <w:ind w:left="794" w:hanging="567"/>
        <w:contextualSpacing/>
        <w:jc w:val="both"/>
        <w:rPr>
          <w:rFonts w:ascii="David" w:eastAsia="Calibri" w:hAnsi="David" w:cs="David"/>
          <w:sz w:val="26"/>
          <w:szCs w:val="26"/>
          <w:u w:val="single"/>
        </w:rPr>
      </w:pPr>
      <w:r w:rsidRPr="008771D6">
        <w:rPr>
          <w:rFonts w:ascii="Arial" w:eastAsia="Times New Roman" w:hAnsi="Arial" w:cs="David"/>
          <w:b/>
          <w:bCs/>
          <w:sz w:val="24"/>
          <w:szCs w:val="24"/>
          <w:rtl/>
        </w:rPr>
        <w:t>המשיבה</w:t>
      </w:r>
      <w:r w:rsidRPr="008771D6">
        <w:rPr>
          <w:rFonts w:ascii="Arial" w:eastAsia="Times New Roman" w:hAnsi="Arial" w:cs="David"/>
          <w:sz w:val="24"/>
          <w:szCs w:val="24"/>
          <w:rtl/>
        </w:rPr>
        <w:t xml:space="preserve"> מצדה טוענת, כי </w:t>
      </w:r>
      <w:r w:rsidRPr="008771D6">
        <w:rPr>
          <w:rFonts w:ascii="Arial" w:eastAsia="Times New Roman" w:hAnsi="Arial" w:cs="David" w:hint="cs"/>
          <w:sz w:val="24"/>
          <w:szCs w:val="24"/>
          <w:rtl/>
        </w:rPr>
        <w:t xml:space="preserve">יש לסלק הבקשה על הסף, היות שהיא מכוונת כנגד החלטת ביניים הנושאת אופי דיוני, </w:t>
      </w:r>
      <w:proofErr w:type="spellStart"/>
      <w:r w:rsidRPr="008771D6">
        <w:rPr>
          <w:rFonts w:ascii="Arial" w:eastAsia="Times New Roman" w:hAnsi="Arial" w:cs="David" w:hint="cs"/>
          <w:sz w:val="24"/>
          <w:szCs w:val="24"/>
          <w:rtl/>
        </w:rPr>
        <w:t>וככזו</w:t>
      </w:r>
      <w:proofErr w:type="spellEnd"/>
      <w:r w:rsidRPr="008771D6">
        <w:rPr>
          <w:rFonts w:ascii="Arial" w:eastAsia="Times New Roman" w:hAnsi="Arial" w:cs="David" w:hint="cs"/>
          <w:sz w:val="24"/>
          <w:szCs w:val="24"/>
          <w:rtl/>
        </w:rPr>
        <w:t xml:space="preserve"> אין דרכה של ערכאת הערעור להתערב בה; לדידה, ההחלטה בעניין הגירת הקטינים לארה"ב ניתנה לאחר כשנתיים בהן לוותה המשפחה ע"י גורמי הרווחה ועדכון בית המשפט קמא באופן רציף. מתסקירי </w:t>
      </w:r>
      <w:proofErr w:type="spellStart"/>
      <w:r w:rsidRPr="008771D6">
        <w:rPr>
          <w:rFonts w:ascii="Arial" w:eastAsia="Times New Roman" w:hAnsi="Arial" w:cs="David" w:hint="cs"/>
          <w:sz w:val="24"/>
          <w:szCs w:val="24"/>
          <w:rtl/>
        </w:rPr>
        <w:t>העו"ס</w:t>
      </w:r>
      <w:proofErr w:type="spellEnd"/>
      <w:r w:rsidRPr="008771D6">
        <w:rPr>
          <w:rFonts w:ascii="Arial" w:eastAsia="Times New Roman" w:hAnsi="Arial" w:cs="David" w:hint="cs"/>
          <w:sz w:val="24"/>
          <w:szCs w:val="24"/>
          <w:rtl/>
        </w:rPr>
        <w:t xml:space="preserve"> לסדרי דין עולה, כי הגירת הקטינים לארה"ב עולה בקנה אחד עם טובתם ולא עלה בידי המבקש לסתור המלצות </w:t>
      </w:r>
      <w:proofErr w:type="spellStart"/>
      <w:r w:rsidRPr="008771D6">
        <w:rPr>
          <w:rFonts w:ascii="Arial" w:eastAsia="Times New Roman" w:hAnsi="Arial" w:cs="David" w:hint="cs"/>
          <w:sz w:val="24"/>
          <w:szCs w:val="24"/>
          <w:rtl/>
        </w:rPr>
        <w:t>העו"ס</w:t>
      </w:r>
      <w:proofErr w:type="spellEnd"/>
      <w:r w:rsidRPr="008771D6">
        <w:rPr>
          <w:rFonts w:ascii="Arial" w:eastAsia="Times New Roman" w:hAnsi="Arial" w:cs="David" w:hint="cs"/>
          <w:sz w:val="24"/>
          <w:szCs w:val="24"/>
          <w:rtl/>
        </w:rPr>
        <w:t xml:space="preserve"> לסדרי דין וממצאיה; בית המשפט מעורה היטב בעניינם של הקטינים  ולאורך ניהול ההליכים לפניו ניתנה לצדדים הזדמנות להביא בפניו טענותיהם, והוא היה קשוב להן; ההחלטה נושא הבקשה מפורטת ומנומקת כדבעי, יש בה התייחסות לכלל טענות הצדדים ולמסד העובדתי ולא נפל בה כל פגם המצדיק התערבות של ערכאת הערעור </w:t>
      </w:r>
    </w:p>
    <w:p w:rsidR="008771D6" w:rsidRDefault="008771D6" w:rsidP="008771D6">
      <w:pPr>
        <w:pStyle w:val="a8"/>
        <w:rPr>
          <w:rFonts w:ascii="Arial" w:eastAsia="Times New Roman" w:hAnsi="Arial" w:cs="David"/>
          <w:sz w:val="24"/>
          <w:szCs w:val="24"/>
          <w:rtl/>
        </w:rPr>
      </w:pPr>
    </w:p>
    <w:p w:rsidR="008771D6" w:rsidRPr="008771D6" w:rsidRDefault="008771D6" w:rsidP="008771D6">
      <w:pPr>
        <w:spacing w:after="0" w:line="360" w:lineRule="auto"/>
        <w:ind w:left="794"/>
        <w:contextualSpacing/>
        <w:jc w:val="both"/>
        <w:rPr>
          <w:rFonts w:ascii="David" w:eastAsia="Calibri" w:hAnsi="David" w:cs="David"/>
          <w:sz w:val="26"/>
          <w:szCs w:val="26"/>
          <w:u w:val="single"/>
        </w:rPr>
      </w:pPr>
      <w:r w:rsidRPr="008771D6">
        <w:rPr>
          <w:rFonts w:ascii="Arial" w:eastAsia="Times New Roman" w:hAnsi="Arial" w:cs="David" w:hint="cs"/>
          <w:sz w:val="24"/>
          <w:szCs w:val="24"/>
          <w:rtl/>
        </w:rPr>
        <w:t xml:space="preserve">בה; המשיבה מצטטת מתוך ההחלטה הקביעות והממצאים של בית המשפט קמא (ויוער, כי ראוי להוסיף מירכאות עת מביאים דבר בשם אומרו); ההחלטה נשענת גם על המלצות </w:t>
      </w:r>
      <w:proofErr w:type="spellStart"/>
      <w:r w:rsidRPr="008771D6">
        <w:rPr>
          <w:rFonts w:ascii="Arial" w:eastAsia="Times New Roman" w:hAnsi="Arial" w:cs="David" w:hint="cs"/>
          <w:sz w:val="24"/>
          <w:szCs w:val="24"/>
          <w:rtl/>
        </w:rPr>
        <w:t>העו"ס</w:t>
      </w:r>
      <w:proofErr w:type="spellEnd"/>
      <w:r w:rsidRPr="008771D6">
        <w:rPr>
          <w:rFonts w:ascii="Arial" w:eastAsia="Times New Roman" w:hAnsi="Arial" w:cs="David" w:hint="cs"/>
          <w:sz w:val="24"/>
          <w:szCs w:val="24"/>
          <w:rtl/>
        </w:rPr>
        <w:t xml:space="preserve"> לסדרי דין </w:t>
      </w:r>
      <w:proofErr w:type="spellStart"/>
      <w:r w:rsidRPr="008771D6">
        <w:rPr>
          <w:rFonts w:ascii="Arial" w:eastAsia="Times New Roman" w:hAnsi="Arial" w:cs="David" w:hint="cs"/>
          <w:sz w:val="24"/>
          <w:szCs w:val="24"/>
          <w:rtl/>
        </w:rPr>
        <w:t>והאפוטרופה</w:t>
      </w:r>
      <w:proofErr w:type="spellEnd"/>
      <w:r w:rsidRPr="008771D6">
        <w:rPr>
          <w:rFonts w:ascii="Arial" w:eastAsia="Times New Roman" w:hAnsi="Arial" w:cs="David" w:hint="cs"/>
          <w:sz w:val="24"/>
          <w:szCs w:val="24"/>
          <w:rtl/>
        </w:rPr>
        <w:t xml:space="preserve"> לדין; אין יסוד לטענות המבקש בדבר החשש מפני ניתוק הקשר עם הקטינים לאחר ההגירה לארה"ב, משאינן עולות בקנה אחד עם התנהלותה האחראית עד כה; טובת הקטינים ורצונם מצדיקים המעבר שלהם לארה"ב; המשיבה מבהירה, כי בניגוד לנטען ע"י המבקש, ההסכמות ביניהם גובשו לאחר דיון ממושך באולם הדיונים ומחוצה לו, ניתנה להם ההזדמנות לקרוא מתווה ההסכמות שתועד בפרוטוקול הדיון והם אף חתמו עליו; המשיבה מוסיפה וטוענת כי הבקשה נגועה בחוסר תום לב, ובאמצעותה עושה המבקש שימוש לרעה בהליכי המשפט, תוך שהוא שב על הטענות שהועלו בפני בית המשפט קמא ונדחו על ידו ותוך גלגול האחריות לפתחה של באת כוחו לשעבר; לדידה, הגשת הבקשה דנא לא נועדה אלא לעכב המעבר לארה"ב מכוח ההחלטה שנתקבלה לאחר פרק זמן לא מבוטל של התדיינות בין הצדדים. לפיכך עותרת </w:t>
      </w:r>
      <w:r w:rsidRPr="008771D6">
        <w:rPr>
          <w:rFonts w:ascii="Arial" w:eastAsia="Times New Roman" w:hAnsi="Arial" w:cs="David"/>
          <w:sz w:val="24"/>
          <w:szCs w:val="24"/>
          <w:rtl/>
        </w:rPr>
        <w:t>המשיבה לדחיית הבקשה</w:t>
      </w:r>
      <w:r w:rsidRPr="008771D6">
        <w:rPr>
          <w:rFonts w:ascii="Arial" w:eastAsia="Times New Roman" w:hAnsi="Arial" w:cs="David" w:hint="cs"/>
          <w:sz w:val="24"/>
          <w:szCs w:val="24"/>
          <w:rtl/>
        </w:rPr>
        <w:t>.</w:t>
      </w:r>
      <w:r w:rsidRPr="008771D6">
        <w:rPr>
          <w:rFonts w:ascii="Arial" w:eastAsia="Times New Roman" w:hAnsi="Arial" w:cs="David"/>
          <w:sz w:val="24"/>
          <w:szCs w:val="24"/>
          <w:rtl/>
        </w:rPr>
        <w:t xml:space="preserve"> </w:t>
      </w:r>
    </w:p>
    <w:p w:rsidR="008771D6" w:rsidRPr="008771D6" w:rsidRDefault="008771D6" w:rsidP="008771D6">
      <w:pPr>
        <w:spacing w:line="360" w:lineRule="auto"/>
        <w:ind w:left="720"/>
        <w:contextualSpacing/>
        <w:jc w:val="both"/>
        <w:rPr>
          <w:rFonts w:ascii="David" w:eastAsia="Calibri" w:hAnsi="David" w:cs="David"/>
          <w:b/>
          <w:bCs/>
          <w:sz w:val="26"/>
          <w:szCs w:val="26"/>
          <w:u w:val="single"/>
          <w:rtl/>
        </w:rPr>
      </w:pPr>
    </w:p>
    <w:p w:rsidR="008771D6" w:rsidRPr="008771D6" w:rsidRDefault="008771D6" w:rsidP="008771D6">
      <w:pPr>
        <w:spacing w:line="360" w:lineRule="auto"/>
        <w:ind w:left="227"/>
        <w:contextualSpacing/>
        <w:jc w:val="both"/>
        <w:rPr>
          <w:rFonts w:ascii="David" w:eastAsia="Calibri" w:hAnsi="David" w:cs="David"/>
          <w:b/>
          <w:bCs/>
          <w:sz w:val="26"/>
          <w:szCs w:val="26"/>
          <w:u w:val="single"/>
        </w:rPr>
      </w:pPr>
      <w:r w:rsidRPr="008771D6">
        <w:rPr>
          <w:rFonts w:ascii="David" w:eastAsia="Calibri" w:hAnsi="David" w:cs="David"/>
          <w:b/>
          <w:bCs/>
          <w:sz w:val="26"/>
          <w:szCs w:val="26"/>
          <w:u w:val="single"/>
          <w:rtl/>
        </w:rPr>
        <w:t>דיון והכרעה</w:t>
      </w:r>
    </w:p>
    <w:p w:rsidR="008771D6" w:rsidRPr="008771D6" w:rsidRDefault="008771D6" w:rsidP="008771D6">
      <w:pPr>
        <w:spacing w:line="240" w:lineRule="auto"/>
        <w:ind w:left="720"/>
        <w:contextualSpacing/>
        <w:jc w:val="both"/>
        <w:rPr>
          <w:rFonts w:ascii="David" w:eastAsia="Calibri" w:hAnsi="David" w:cs="David"/>
          <w:b/>
          <w:bCs/>
          <w:sz w:val="26"/>
          <w:szCs w:val="26"/>
          <w:u w:val="single"/>
          <w:rtl/>
        </w:rPr>
      </w:pPr>
    </w:p>
    <w:p w:rsidR="008771D6" w:rsidRPr="008771D6" w:rsidRDefault="008771D6" w:rsidP="008771D6">
      <w:pPr>
        <w:numPr>
          <w:ilvl w:val="0"/>
          <w:numId w:val="1"/>
        </w:numPr>
        <w:spacing w:after="0" w:line="360" w:lineRule="auto"/>
        <w:contextualSpacing/>
        <w:jc w:val="both"/>
        <w:rPr>
          <w:rFonts w:ascii="Arial" w:eastAsia="Times New Roman" w:hAnsi="Arial" w:cs="David"/>
          <w:b/>
          <w:bCs/>
          <w:sz w:val="24"/>
          <w:szCs w:val="24"/>
        </w:rPr>
      </w:pPr>
      <w:r w:rsidRPr="008771D6">
        <w:rPr>
          <w:rFonts w:ascii="Arial" w:eastAsia="Times New Roman" w:hAnsi="Arial" w:cs="David"/>
          <w:b/>
          <w:bCs/>
          <w:sz w:val="24"/>
          <w:szCs w:val="24"/>
          <w:rtl/>
        </w:rPr>
        <w:t xml:space="preserve">לאחר שבחנתי טענות הצדדים ועיינתי בתיקים </w:t>
      </w:r>
      <w:r w:rsidRPr="008771D6">
        <w:rPr>
          <w:rFonts w:ascii="Arial" w:eastAsia="Times New Roman" w:hAnsi="Arial" w:cs="David" w:hint="cs"/>
          <w:b/>
          <w:bCs/>
          <w:sz w:val="24"/>
          <w:szCs w:val="24"/>
          <w:rtl/>
        </w:rPr>
        <w:t xml:space="preserve">המתנהלים </w:t>
      </w:r>
      <w:r w:rsidRPr="008771D6">
        <w:rPr>
          <w:rFonts w:ascii="Arial" w:eastAsia="Times New Roman" w:hAnsi="Arial" w:cs="David"/>
          <w:b/>
          <w:bCs/>
          <w:sz w:val="24"/>
          <w:szCs w:val="24"/>
          <w:rtl/>
        </w:rPr>
        <w:t xml:space="preserve">בבית המשפט קמא, </w:t>
      </w:r>
      <w:r w:rsidRPr="008771D6">
        <w:rPr>
          <w:rFonts w:ascii="Arial" w:eastAsia="Times New Roman" w:hAnsi="Arial" w:cs="David" w:hint="cs"/>
          <w:b/>
          <w:bCs/>
          <w:sz w:val="24"/>
          <w:szCs w:val="24"/>
          <w:rtl/>
        </w:rPr>
        <w:t xml:space="preserve">ובהתבסס על הוראת תקנה 138(א)(5) לתקנות סדר הדין האזרחי, תשע"ט-2018 </w:t>
      </w:r>
      <w:r w:rsidRPr="008771D6">
        <w:rPr>
          <w:rFonts w:ascii="Arial" w:eastAsia="Times New Roman" w:hAnsi="Arial" w:cs="David"/>
          <w:b/>
          <w:bCs/>
          <w:sz w:val="24"/>
          <w:szCs w:val="24"/>
          <w:rtl/>
        </w:rPr>
        <w:t>באתי ל</w:t>
      </w:r>
      <w:r w:rsidRPr="008771D6">
        <w:rPr>
          <w:rFonts w:ascii="Arial" w:eastAsia="Times New Roman" w:hAnsi="Arial" w:cs="David" w:hint="cs"/>
          <w:b/>
          <w:bCs/>
          <w:sz w:val="24"/>
          <w:szCs w:val="24"/>
          <w:rtl/>
        </w:rPr>
        <w:t xml:space="preserve">כלל </w:t>
      </w:r>
      <w:r w:rsidRPr="008771D6">
        <w:rPr>
          <w:rFonts w:ascii="Arial" w:eastAsia="Times New Roman" w:hAnsi="Arial" w:cs="David"/>
          <w:b/>
          <w:bCs/>
          <w:sz w:val="24"/>
          <w:szCs w:val="24"/>
          <w:rtl/>
        </w:rPr>
        <w:t>מסקנה</w:t>
      </w:r>
      <w:r w:rsidRPr="008771D6">
        <w:rPr>
          <w:rFonts w:ascii="Arial" w:eastAsia="Times New Roman" w:hAnsi="Arial" w:cs="David" w:hint="cs"/>
          <w:b/>
          <w:bCs/>
          <w:sz w:val="24"/>
          <w:szCs w:val="24"/>
          <w:rtl/>
        </w:rPr>
        <w:t>,</w:t>
      </w:r>
      <w:r w:rsidRPr="008771D6">
        <w:rPr>
          <w:rFonts w:ascii="Arial" w:eastAsia="Times New Roman" w:hAnsi="Arial" w:cs="David"/>
          <w:b/>
          <w:bCs/>
          <w:sz w:val="24"/>
          <w:szCs w:val="24"/>
          <w:rtl/>
        </w:rPr>
        <w:t xml:space="preserve"> כי דין הבקשה להידחות</w:t>
      </w:r>
      <w:r w:rsidRPr="008771D6">
        <w:rPr>
          <w:rFonts w:ascii="Arial" w:eastAsia="Times New Roman" w:hAnsi="Arial" w:cs="David" w:hint="cs"/>
          <w:b/>
          <w:bCs/>
          <w:sz w:val="24"/>
          <w:szCs w:val="24"/>
          <w:rtl/>
        </w:rPr>
        <w:t>, מהנימוקים שיפורטו להלן.</w:t>
      </w:r>
    </w:p>
    <w:p w:rsidR="008771D6" w:rsidRPr="008771D6" w:rsidRDefault="008771D6" w:rsidP="008771D6">
      <w:pPr>
        <w:spacing w:after="0" w:line="360" w:lineRule="auto"/>
        <w:ind w:left="786"/>
        <w:contextualSpacing/>
        <w:jc w:val="both"/>
        <w:rPr>
          <w:rFonts w:ascii="Arial" w:eastAsia="Times New Roman" w:hAnsi="Arial" w:cs="David"/>
          <w:sz w:val="24"/>
          <w:szCs w:val="24"/>
        </w:rPr>
      </w:pPr>
    </w:p>
    <w:p w:rsidR="008771D6" w:rsidRPr="008771D6" w:rsidRDefault="008771D6" w:rsidP="008771D6">
      <w:pPr>
        <w:numPr>
          <w:ilvl w:val="0"/>
          <w:numId w:val="1"/>
        </w:numPr>
        <w:spacing w:after="0" w:line="360" w:lineRule="auto"/>
        <w:contextualSpacing/>
        <w:jc w:val="both"/>
        <w:rPr>
          <w:rFonts w:ascii="David" w:eastAsia="Times New Roman" w:hAnsi="David" w:cs="David"/>
          <w:noProof/>
          <w:sz w:val="24"/>
          <w:szCs w:val="24"/>
        </w:rPr>
      </w:pPr>
      <w:r w:rsidRPr="008771D6">
        <w:rPr>
          <w:rFonts w:ascii="Arial" w:eastAsia="Times New Roman" w:hAnsi="Arial" w:cs="David" w:hint="cs"/>
          <w:sz w:val="24"/>
          <w:szCs w:val="24"/>
          <w:rtl/>
        </w:rPr>
        <w:t>ראשית, כידוע, כי עניין לנו "בהחלטה אחרת" ולא בפסק דין, אשר הערעור עליה ברשות ולא בזכות, ואף כי אינה החלטה דיונית-ניהולית כנטען ע"י המשיבה, אלא כזו הנושאת סממנים מהותיים וכבדי משקל, לא מצאתי, שיש מקום להתערב בה משלא מצאתי, כי נסיבות העניין מצדיקות התערבות ערכאת הערעור טרם סיום ההליך.</w:t>
      </w:r>
    </w:p>
    <w:p w:rsidR="008771D6" w:rsidRPr="008771D6" w:rsidRDefault="008771D6" w:rsidP="008771D6">
      <w:pPr>
        <w:spacing w:after="0" w:line="360" w:lineRule="auto"/>
        <w:ind w:left="786"/>
        <w:contextualSpacing/>
        <w:jc w:val="both"/>
        <w:rPr>
          <w:rFonts w:ascii="Arial" w:eastAsia="Times New Roman" w:hAnsi="Arial" w:cs="David"/>
          <w:sz w:val="24"/>
          <w:szCs w:val="24"/>
        </w:rPr>
      </w:pPr>
      <w:r w:rsidRPr="008771D6">
        <w:rPr>
          <w:rFonts w:ascii="Arial" w:eastAsia="Times New Roman" w:hAnsi="Arial" w:cs="David" w:hint="cs"/>
          <w:sz w:val="24"/>
          <w:szCs w:val="24"/>
          <w:rtl/>
        </w:rPr>
        <w:t xml:space="preserve">   </w:t>
      </w:r>
    </w:p>
    <w:p w:rsidR="008771D6" w:rsidRPr="008771D6" w:rsidRDefault="008771D6" w:rsidP="008771D6">
      <w:pPr>
        <w:numPr>
          <w:ilvl w:val="0"/>
          <w:numId w:val="1"/>
        </w:numPr>
        <w:spacing w:after="0" w:line="360" w:lineRule="auto"/>
        <w:contextualSpacing/>
        <w:jc w:val="both"/>
        <w:rPr>
          <w:rFonts w:ascii="Arial" w:eastAsia="Times New Roman" w:hAnsi="Arial" w:cs="David"/>
          <w:sz w:val="24"/>
          <w:szCs w:val="24"/>
        </w:rPr>
      </w:pPr>
      <w:r w:rsidRPr="008771D6">
        <w:rPr>
          <w:rFonts w:ascii="Arial" w:eastAsia="Times New Roman" w:hAnsi="Arial" w:cs="David" w:hint="cs"/>
          <w:sz w:val="24"/>
          <w:szCs w:val="24"/>
          <w:rtl/>
        </w:rPr>
        <w:t xml:space="preserve">בסעיף 52(ב) לחוק בתי המשפט [נוסח משולב], תשמ"ד-1984 שעניינו ערעור על החלטות ביניים בהליכים אזרחיים המתנהלים בבתי משפט השלום נקבע לאמור: </w:t>
      </w:r>
    </w:p>
    <w:p w:rsidR="008771D6" w:rsidRPr="008771D6" w:rsidRDefault="008771D6" w:rsidP="008771D6">
      <w:pPr>
        <w:spacing w:after="0" w:line="240" w:lineRule="auto"/>
        <w:ind w:left="720"/>
        <w:contextualSpacing/>
        <w:rPr>
          <w:rFonts w:ascii="Arial" w:eastAsia="Times New Roman" w:hAnsi="Arial" w:cs="David"/>
          <w:sz w:val="24"/>
          <w:szCs w:val="24"/>
          <w:rtl/>
        </w:rPr>
      </w:pPr>
    </w:p>
    <w:p w:rsidR="008771D6" w:rsidRPr="008771D6" w:rsidRDefault="008771D6" w:rsidP="008771D6">
      <w:pPr>
        <w:spacing w:after="0" w:line="360" w:lineRule="auto"/>
        <w:ind w:left="786"/>
        <w:contextualSpacing/>
        <w:jc w:val="both"/>
        <w:rPr>
          <w:rFonts w:ascii="Arial" w:eastAsia="Times New Roman" w:hAnsi="Arial" w:cs="David"/>
          <w:b/>
          <w:bCs/>
          <w:sz w:val="24"/>
          <w:szCs w:val="24"/>
        </w:rPr>
      </w:pPr>
      <w:r w:rsidRPr="008771D6">
        <w:rPr>
          <w:rFonts w:ascii="Arial" w:eastAsia="Times New Roman" w:hAnsi="Arial" w:cs="David" w:hint="cs"/>
          <w:b/>
          <w:bCs/>
          <w:sz w:val="24"/>
          <w:szCs w:val="24"/>
          <w:rtl/>
        </w:rPr>
        <w:t>"</w:t>
      </w:r>
      <w:r w:rsidRPr="008771D6">
        <w:rPr>
          <w:rFonts w:ascii="Arial" w:eastAsia="Times New Roman" w:hAnsi="Arial" w:cs="David"/>
          <w:b/>
          <w:bCs/>
          <w:sz w:val="24"/>
          <w:szCs w:val="24"/>
          <w:rtl/>
        </w:rPr>
        <w:t xml:space="preserve">החלטה אחרת של בית משפט שלום </w:t>
      </w:r>
      <w:proofErr w:type="spellStart"/>
      <w:r w:rsidRPr="008771D6">
        <w:rPr>
          <w:rFonts w:ascii="Arial" w:eastAsia="Times New Roman" w:hAnsi="Arial" w:cs="David"/>
          <w:b/>
          <w:bCs/>
          <w:sz w:val="24"/>
          <w:szCs w:val="24"/>
          <w:rtl/>
        </w:rPr>
        <w:t>בענין</w:t>
      </w:r>
      <w:proofErr w:type="spellEnd"/>
      <w:r w:rsidRPr="008771D6">
        <w:rPr>
          <w:rFonts w:ascii="Arial" w:eastAsia="Times New Roman" w:hAnsi="Arial" w:cs="David"/>
          <w:b/>
          <w:bCs/>
          <w:sz w:val="24"/>
          <w:szCs w:val="24"/>
          <w:rtl/>
        </w:rPr>
        <w:t xml:space="preserve"> אזרחי ניתנת לערעור לפני בית משפט מחוזי, אם ניתנה רשות לכך מאת שופט של בית המשפט המחוזי. רשות כאמור בסעיף קטן זה לגבי החלטה אחרת תינתן אם שוכנע בית המשפט כי אם הערעור על ההחלטה יידון במסגרת הערעור על פסק הדין ולא באופן </w:t>
      </w:r>
      <w:proofErr w:type="spellStart"/>
      <w:r w:rsidRPr="008771D6">
        <w:rPr>
          <w:rFonts w:ascii="Arial" w:eastAsia="Times New Roman" w:hAnsi="Arial" w:cs="David"/>
          <w:b/>
          <w:bCs/>
          <w:sz w:val="24"/>
          <w:szCs w:val="24"/>
          <w:rtl/>
        </w:rPr>
        <w:t>מיידי</w:t>
      </w:r>
      <w:proofErr w:type="spellEnd"/>
      <w:r w:rsidRPr="008771D6">
        <w:rPr>
          <w:rFonts w:ascii="Arial" w:eastAsia="Times New Roman" w:hAnsi="Arial" w:cs="David"/>
          <w:b/>
          <w:bCs/>
          <w:sz w:val="24"/>
          <w:szCs w:val="24"/>
          <w:rtl/>
        </w:rPr>
        <w:t>, יהיה בכך כדי להשפיע באופן ממשי על זכויות הצדדים או שעלול להיגרם לצד להליך נזק של ממש, או שעלול להתנהל הליך מיותר או בדרך שגויה</w:t>
      </w:r>
      <w:r w:rsidRPr="008771D6">
        <w:rPr>
          <w:rFonts w:ascii="Arial" w:eastAsia="Times New Roman" w:hAnsi="Arial" w:cs="David" w:hint="cs"/>
          <w:b/>
          <w:bCs/>
          <w:sz w:val="24"/>
          <w:szCs w:val="24"/>
          <w:rtl/>
        </w:rPr>
        <w:t>"</w:t>
      </w:r>
      <w:r w:rsidRPr="008771D6">
        <w:rPr>
          <w:rFonts w:ascii="Arial" w:eastAsia="Times New Roman" w:hAnsi="Arial" w:cs="David"/>
          <w:b/>
          <w:bCs/>
          <w:sz w:val="24"/>
          <w:szCs w:val="24"/>
          <w:rtl/>
        </w:rPr>
        <w:t>.</w:t>
      </w:r>
      <w:r w:rsidRPr="008771D6">
        <w:rPr>
          <w:rFonts w:ascii="Arial" w:eastAsia="Times New Roman" w:hAnsi="Arial" w:cs="David" w:hint="cs"/>
          <w:b/>
          <w:bCs/>
          <w:sz w:val="24"/>
          <w:szCs w:val="24"/>
          <w:rtl/>
        </w:rPr>
        <w:t xml:space="preserve">   </w:t>
      </w:r>
    </w:p>
    <w:p w:rsidR="008771D6" w:rsidRPr="008771D6" w:rsidRDefault="008771D6" w:rsidP="008771D6">
      <w:pPr>
        <w:spacing w:after="0" w:line="240" w:lineRule="auto"/>
        <w:ind w:left="720"/>
        <w:contextualSpacing/>
        <w:rPr>
          <w:rFonts w:ascii="Arial" w:eastAsia="Times New Roman" w:hAnsi="Arial" w:cs="David"/>
          <w:b/>
          <w:bCs/>
          <w:sz w:val="24"/>
          <w:szCs w:val="24"/>
          <w:rtl/>
        </w:rPr>
      </w:pPr>
    </w:p>
    <w:p w:rsidR="008771D6" w:rsidRPr="008771D6" w:rsidRDefault="008771D6" w:rsidP="008771D6">
      <w:pPr>
        <w:numPr>
          <w:ilvl w:val="0"/>
          <w:numId w:val="1"/>
        </w:numPr>
        <w:spacing w:after="0" w:line="360" w:lineRule="auto"/>
        <w:contextualSpacing/>
        <w:jc w:val="both"/>
        <w:rPr>
          <w:rFonts w:ascii="Arial" w:eastAsia="Times New Roman" w:hAnsi="Arial" w:cs="David"/>
          <w:sz w:val="24"/>
          <w:szCs w:val="24"/>
        </w:rPr>
      </w:pPr>
      <w:r w:rsidRPr="008771D6">
        <w:rPr>
          <w:rFonts w:ascii="Arial" w:eastAsia="Times New Roman" w:hAnsi="Arial" w:cs="David" w:hint="cs"/>
          <w:sz w:val="24"/>
          <w:szCs w:val="24"/>
          <w:rtl/>
        </w:rPr>
        <w:t xml:space="preserve">בית המשפט העליון (כב' השופט י. עמית) הביע דעתו על פיה לשון ההוראה מלמד, כי תכליתה היא צמצום האפשרות של הגשת בקשות רשות ערעור, שעה שהדבר גורם לרוב לפיצול הדיון, להשהייתו ולסיבוכו. לדידו, השימוש במילים "אם שוכנע בית המשפט" מלמד, כי המחוקק הציב רף גבוה מזה שהיה בעבר לצורך מתן רשות ערעור, וכל זאת כחלק מן המגמה הכללית לצמצום העומס המוטל על ערכאת הערעור, מניעת הפיצול בבירור ההליך המשפטי ומניעת עיכוב בהתקדמותו (רע"א 368/13 </w:t>
      </w:r>
      <w:r w:rsidRPr="008771D6">
        <w:rPr>
          <w:rFonts w:ascii="Arial" w:eastAsia="Times New Roman" w:hAnsi="Arial" w:cs="David" w:hint="cs"/>
          <w:b/>
          <w:bCs/>
          <w:sz w:val="24"/>
          <w:szCs w:val="24"/>
          <w:rtl/>
        </w:rPr>
        <w:t xml:space="preserve">הרשות הפלסטינית נ' ליטבק </w:t>
      </w:r>
      <w:proofErr w:type="spellStart"/>
      <w:r w:rsidRPr="008771D6">
        <w:rPr>
          <w:rFonts w:ascii="Arial" w:eastAsia="Times New Roman" w:hAnsi="Arial" w:cs="David" w:hint="cs"/>
          <w:b/>
          <w:bCs/>
          <w:sz w:val="24"/>
          <w:szCs w:val="24"/>
          <w:rtl/>
        </w:rPr>
        <w:t>נורזי'ק</w:t>
      </w:r>
      <w:proofErr w:type="spellEnd"/>
      <w:r w:rsidRPr="008771D6">
        <w:rPr>
          <w:rFonts w:ascii="Arial" w:eastAsia="Times New Roman" w:hAnsi="Arial" w:cs="David" w:hint="cs"/>
          <w:b/>
          <w:bCs/>
          <w:sz w:val="24"/>
          <w:szCs w:val="24"/>
          <w:rtl/>
        </w:rPr>
        <w:t xml:space="preserve"> ואח', </w:t>
      </w:r>
      <w:r w:rsidRPr="008771D6">
        <w:rPr>
          <w:rFonts w:ascii="Arial" w:eastAsia="Times New Roman" w:hAnsi="Arial" w:cs="David" w:hint="cs"/>
          <w:sz w:val="24"/>
          <w:szCs w:val="24"/>
          <w:rtl/>
        </w:rPr>
        <w:t xml:space="preserve">פורסם במאגרים  האלקטרוניים).    </w:t>
      </w:r>
    </w:p>
    <w:p w:rsidR="008771D6" w:rsidRPr="008771D6" w:rsidRDefault="008771D6" w:rsidP="008771D6">
      <w:pPr>
        <w:spacing w:after="0" w:line="360" w:lineRule="auto"/>
        <w:ind w:left="786"/>
        <w:contextualSpacing/>
        <w:jc w:val="both"/>
        <w:rPr>
          <w:rFonts w:ascii="Arial" w:eastAsia="Times New Roman" w:hAnsi="Arial" w:cs="David"/>
          <w:sz w:val="24"/>
          <w:szCs w:val="24"/>
        </w:rPr>
      </w:pPr>
    </w:p>
    <w:p w:rsidR="008771D6" w:rsidRPr="008771D6" w:rsidRDefault="008771D6" w:rsidP="008771D6">
      <w:pPr>
        <w:numPr>
          <w:ilvl w:val="0"/>
          <w:numId w:val="1"/>
        </w:numPr>
        <w:spacing w:after="0" w:line="360" w:lineRule="auto"/>
        <w:contextualSpacing/>
        <w:jc w:val="both"/>
        <w:rPr>
          <w:rFonts w:ascii="Arial" w:eastAsia="Times New Roman" w:hAnsi="Arial" w:cs="David"/>
          <w:sz w:val="24"/>
          <w:szCs w:val="24"/>
        </w:rPr>
      </w:pPr>
      <w:r w:rsidRPr="008771D6">
        <w:rPr>
          <w:rFonts w:ascii="Arial" w:eastAsia="Times New Roman" w:hAnsi="Arial" w:cs="David" w:hint="cs"/>
          <w:sz w:val="24"/>
          <w:szCs w:val="24"/>
          <w:rtl/>
        </w:rPr>
        <w:t xml:space="preserve">הנה כי כן וברוח הוראת החוק האמורה והרציונל שבבסיסה, הלך ונתגבש בפסיקה הכלל לפיו, </w:t>
      </w:r>
      <w:r w:rsidRPr="008771D6">
        <w:rPr>
          <w:rFonts w:ascii="Arial" w:eastAsia="Times New Roman" w:hAnsi="Arial" w:cs="David"/>
          <w:sz w:val="24"/>
          <w:szCs w:val="24"/>
          <w:rtl/>
        </w:rPr>
        <w:t xml:space="preserve">ערכאת הערעור </w:t>
      </w:r>
      <w:r w:rsidRPr="008771D6">
        <w:rPr>
          <w:rFonts w:ascii="Arial" w:eastAsia="Times New Roman" w:hAnsi="Arial" w:cs="David" w:hint="cs"/>
          <w:sz w:val="24"/>
          <w:szCs w:val="24"/>
          <w:rtl/>
        </w:rPr>
        <w:t>לא תיטה</w:t>
      </w:r>
      <w:r w:rsidRPr="008771D6">
        <w:rPr>
          <w:rFonts w:ascii="Arial" w:eastAsia="Times New Roman" w:hAnsi="Arial" w:cs="David"/>
          <w:sz w:val="24"/>
          <w:szCs w:val="24"/>
          <w:rtl/>
        </w:rPr>
        <w:t xml:space="preserve"> להתערב בהחלטות ביניים של הערכאה הדיונית, וככלל ייעשה הדבר במסגרת הערעור על פסק הדין אלא אם עלה בידי מבקש רשות הערעור להראות כי דחיית הבירור באותה השגה על החלטת הביניים לשלב הערעור על פסק הדין עלולה לגרום לו נזק ממשי, וכי הערכאה הדיונית טעתה טעות ברורה והתעלמה משיקולים מרכזיים שהייתה צריכה לתת דעתה עליהם</w:t>
      </w:r>
      <w:r w:rsidRPr="008771D6">
        <w:rPr>
          <w:rFonts w:ascii="Arial" w:eastAsia="Times New Roman" w:hAnsi="Arial" w:cs="David" w:hint="cs"/>
          <w:sz w:val="24"/>
          <w:szCs w:val="24"/>
          <w:rtl/>
        </w:rPr>
        <w:t xml:space="preserve"> [ראו למשל: </w:t>
      </w:r>
      <w:proofErr w:type="spellStart"/>
      <w:r w:rsidRPr="008771D6">
        <w:rPr>
          <w:rFonts w:ascii="Arial" w:eastAsia="Times New Roman" w:hAnsi="Arial" w:cs="David" w:hint="cs"/>
          <w:sz w:val="24"/>
          <w:szCs w:val="24"/>
          <w:rtl/>
        </w:rPr>
        <w:t>רמ"ש</w:t>
      </w:r>
      <w:proofErr w:type="spellEnd"/>
      <w:r w:rsidRPr="008771D6">
        <w:rPr>
          <w:rFonts w:ascii="Arial" w:eastAsia="Times New Roman" w:hAnsi="Arial" w:cs="David" w:hint="cs"/>
          <w:sz w:val="24"/>
          <w:szCs w:val="24"/>
          <w:rtl/>
        </w:rPr>
        <w:t xml:space="preserve"> (חיפה) 7867-03-14 </w:t>
      </w:r>
      <w:r w:rsidRPr="008771D6">
        <w:rPr>
          <w:rFonts w:ascii="Arial" w:eastAsia="Times New Roman" w:hAnsi="Arial" w:cs="David" w:hint="cs"/>
          <w:b/>
          <w:bCs/>
          <w:sz w:val="24"/>
          <w:szCs w:val="24"/>
          <w:rtl/>
        </w:rPr>
        <w:t>פלוני נ' א.א</w:t>
      </w:r>
      <w:r w:rsidRPr="008771D6">
        <w:rPr>
          <w:rFonts w:ascii="Arial" w:eastAsia="Times New Roman" w:hAnsi="Arial" w:cs="David" w:hint="cs"/>
          <w:sz w:val="24"/>
          <w:szCs w:val="24"/>
          <w:rtl/>
        </w:rPr>
        <w:t>, פורסם במאגרים האלקטרוניים].</w:t>
      </w:r>
    </w:p>
    <w:p w:rsidR="008771D6" w:rsidRPr="008771D6" w:rsidRDefault="008771D6" w:rsidP="008771D6">
      <w:pPr>
        <w:spacing w:after="0" w:line="240" w:lineRule="auto"/>
        <w:ind w:left="720"/>
        <w:contextualSpacing/>
        <w:rPr>
          <w:rFonts w:ascii="Arial" w:eastAsia="Times New Roman" w:hAnsi="Arial" w:cs="David"/>
          <w:sz w:val="24"/>
          <w:szCs w:val="24"/>
          <w:rtl/>
        </w:rPr>
      </w:pPr>
    </w:p>
    <w:p w:rsidR="008771D6" w:rsidRPr="008771D6" w:rsidRDefault="008771D6" w:rsidP="008771D6">
      <w:pPr>
        <w:numPr>
          <w:ilvl w:val="0"/>
          <w:numId w:val="1"/>
        </w:numPr>
        <w:spacing w:after="0" w:line="360" w:lineRule="auto"/>
        <w:contextualSpacing/>
        <w:jc w:val="both"/>
        <w:rPr>
          <w:rFonts w:ascii="Arial" w:eastAsia="Times New Roman" w:hAnsi="Arial" w:cs="David"/>
          <w:sz w:val="24"/>
          <w:szCs w:val="24"/>
        </w:rPr>
      </w:pPr>
      <w:r w:rsidRPr="008771D6">
        <w:rPr>
          <w:rFonts w:ascii="Arial" w:eastAsia="Times New Roman" w:hAnsi="Arial" w:cs="David" w:hint="cs"/>
          <w:sz w:val="24"/>
          <w:szCs w:val="24"/>
          <w:rtl/>
        </w:rPr>
        <w:t xml:space="preserve">על פניו, ההחלטה חורצת גורל ההליכים בבית המשפט קמא ובפרט ההליך בעניין הגירת הקטינים לארה"ב </w:t>
      </w:r>
      <w:r w:rsidRPr="008771D6">
        <w:rPr>
          <w:rFonts w:ascii="Arial" w:eastAsia="Times New Roman" w:hAnsi="Arial" w:cs="David"/>
          <w:sz w:val="24"/>
          <w:szCs w:val="24"/>
          <w:rtl/>
        </w:rPr>
        <w:t>–</w:t>
      </w:r>
      <w:r w:rsidRPr="008771D6">
        <w:rPr>
          <w:rFonts w:ascii="Arial" w:eastAsia="Times New Roman" w:hAnsi="Arial" w:cs="David" w:hint="cs"/>
          <w:sz w:val="24"/>
          <w:szCs w:val="24"/>
          <w:rtl/>
        </w:rPr>
        <w:t xml:space="preserve"> סוגיה שלא ניתן להפריז בחשיבותה.</w:t>
      </w:r>
    </w:p>
    <w:p w:rsidR="008771D6" w:rsidRPr="008771D6" w:rsidRDefault="008771D6" w:rsidP="008771D6">
      <w:pPr>
        <w:spacing w:after="0" w:line="240" w:lineRule="auto"/>
        <w:ind w:left="720"/>
        <w:contextualSpacing/>
        <w:rPr>
          <w:rFonts w:ascii="Arial" w:eastAsia="Times New Roman" w:hAnsi="Arial" w:cs="David"/>
          <w:sz w:val="24"/>
          <w:szCs w:val="24"/>
          <w:rtl/>
        </w:rPr>
      </w:pPr>
    </w:p>
    <w:p w:rsidR="008771D6" w:rsidRPr="008771D6" w:rsidRDefault="008771D6" w:rsidP="008771D6">
      <w:pPr>
        <w:numPr>
          <w:ilvl w:val="0"/>
          <w:numId w:val="1"/>
        </w:numPr>
        <w:spacing w:after="0" w:line="360" w:lineRule="auto"/>
        <w:contextualSpacing/>
        <w:jc w:val="both"/>
        <w:rPr>
          <w:rFonts w:ascii="Arial" w:eastAsia="Times New Roman" w:hAnsi="Arial" w:cs="David"/>
          <w:sz w:val="24"/>
          <w:szCs w:val="24"/>
        </w:rPr>
      </w:pPr>
      <w:r w:rsidRPr="008771D6">
        <w:rPr>
          <w:rFonts w:ascii="Arial" w:eastAsia="Times New Roman" w:hAnsi="Arial" w:cs="David" w:hint="cs"/>
          <w:sz w:val="24"/>
          <w:szCs w:val="24"/>
          <w:rtl/>
        </w:rPr>
        <w:t>ברם, בית המשפט קמא טרם השלים מלאכתו וטרם הוכרעה שאלת הערובות שעל המשיבה להעמיד להבטחת הקשר בין המבקש והקטינים לאחר המעבר לארה"ב.</w:t>
      </w:r>
    </w:p>
    <w:p w:rsidR="008771D6" w:rsidRPr="008771D6" w:rsidRDefault="008771D6" w:rsidP="008771D6">
      <w:pPr>
        <w:spacing w:after="0" w:line="240" w:lineRule="auto"/>
        <w:ind w:left="720"/>
        <w:contextualSpacing/>
        <w:rPr>
          <w:rFonts w:ascii="Arial" w:eastAsia="Times New Roman" w:hAnsi="Arial" w:cs="David"/>
          <w:sz w:val="24"/>
          <w:szCs w:val="24"/>
          <w:rtl/>
        </w:rPr>
      </w:pPr>
    </w:p>
    <w:p w:rsidR="008771D6" w:rsidRPr="008771D6" w:rsidRDefault="008771D6" w:rsidP="008771D6">
      <w:pPr>
        <w:numPr>
          <w:ilvl w:val="0"/>
          <w:numId w:val="1"/>
        </w:numPr>
        <w:spacing w:after="0" w:line="360" w:lineRule="auto"/>
        <w:contextualSpacing/>
        <w:jc w:val="both"/>
        <w:rPr>
          <w:rFonts w:ascii="Arial" w:eastAsia="Times New Roman" w:hAnsi="Arial" w:cs="David"/>
          <w:sz w:val="24"/>
          <w:szCs w:val="24"/>
        </w:rPr>
      </w:pPr>
      <w:r w:rsidRPr="008771D6">
        <w:rPr>
          <w:rFonts w:ascii="Arial" w:eastAsia="Times New Roman" w:hAnsi="Arial" w:cs="David" w:hint="cs"/>
          <w:sz w:val="24"/>
          <w:szCs w:val="24"/>
          <w:rtl/>
        </w:rPr>
        <w:t xml:space="preserve">בנסיבות אלו היה על המבקש להמתין להשלמת הבירור ע"י הערכאה הדיונית ואז לערער, כהבנתו, על פסק הדין, לרבות ההחלטה נושא דיוננו. </w:t>
      </w:r>
    </w:p>
    <w:p w:rsidR="008771D6" w:rsidRPr="008771D6" w:rsidRDefault="008771D6" w:rsidP="008771D6">
      <w:pPr>
        <w:spacing w:after="0" w:line="240" w:lineRule="auto"/>
        <w:ind w:left="720"/>
        <w:contextualSpacing/>
        <w:rPr>
          <w:rFonts w:ascii="Arial" w:eastAsia="Times New Roman" w:hAnsi="Arial" w:cs="David"/>
          <w:sz w:val="24"/>
          <w:szCs w:val="24"/>
          <w:rtl/>
        </w:rPr>
      </w:pPr>
    </w:p>
    <w:p w:rsidR="008771D6" w:rsidRPr="008771D6" w:rsidRDefault="008771D6" w:rsidP="008771D6">
      <w:pPr>
        <w:numPr>
          <w:ilvl w:val="0"/>
          <w:numId w:val="1"/>
        </w:numPr>
        <w:spacing w:after="0" w:line="360" w:lineRule="auto"/>
        <w:contextualSpacing/>
        <w:jc w:val="both"/>
        <w:rPr>
          <w:rFonts w:ascii="Arial" w:eastAsia="Times New Roman" w:hAnsi="Arial" w:cs="David"/>
          <w:sz w:val="24"/>
          <w:szCs w:val="24"/>
        </w:rPr>
      </w:pPr>
      <w:r w:rsidRPr="008771D6">
        <w:rPr>
          <w:rFonts w:ascii="Arial" w:eastAsia="Times New Roman" w:hAnsi="Arial" w:cs="David" w:hint="cs"/>
          <w:sz w:val="24"/>
          <w:szCs w:val="24"/>
          <w:rtl/>
        </w:rPr>
        <w:t xml:space="preserve">מבלי לנתח ממצאי בית המשפט ותוצאת הניתוח המשפטי ולהקדים בכך את המאוחר יצוין, כי </w:t>
      </w:r>
      <w:r w:rsidRPr="008771D6">
        <w:rPr>
          <w:rFonts w:ascii="Arial" w:eastAsia="Times New Roman" w:hAnsi="Arial" w:cs="David"/>
          <w:sz w:val="24"/>
          <w:szCs w:val="24"/>
          <w:rtl/>
        </w:rPr>
        <w:t xml:space="preserve">מעיון בתיק </w:t>
      </w:r>
      <w:r w:rsidRPr="008771D6">
        <w:rPr>
          <w:rFonts w:ascii="Arial" w:eastAsia="Times New Roman" w:hAnsi="Arial" w:cs="David" w:hint="cs"/>
          <w:sz w:val="24"/>
          <w:szCs w:val="24"/>
          <w:rtl/>
        </w:rPr>
        <w:t xml:space="preserve">המתנהל בבית המשפט קמא עולה, שזכויותיו הדיוניות של המבקש נשמרו כדבעי, ומשנטען על ידו לפגמים ברצון בשלב גיבוש ההסכמות בין הצדדים, קיים בית המשפט בירור עובדתי במסגרת דיון שכונס במיוחד לשם כך ולאחריו ניתנה ההחלטה שלפנינו </w:t>
      </w:r>
      <w:r w:rsidRPr="008771D6">
        <w:rPr>
          <w:rFonts w:ascii="Arial" w:eastAsia="Times New Roman" w:hAnsi="Arial" w:cs="David"/>
          <w:sz w:val="24"/>
          <w:szCs w:val="24"/>
          <w:rtl/>
        </w:rPr>
        <w:t>–</w:t>
      </w:r>
      <w:r w:rsidRPr="008771D6">
        <w:rPr>
          <w:rFonts w:ascii="Arial" w:eastAsia="Times New Roman" w:hAnsi="Arial" w:cs="David" w:hint="cs"/>
          <w:sz w:val="24"/>
          <w:szCs w:val="24"/>
          <w:rtl/>
        </w:rPr>
        <w:t xml:space="preserve"> החלטה מקיפה ומנומקת הנשענת על אדנים שבדין ובעובדות. בית המשפט קמא הפך כל אבן והתייחס למלוא טענות המבקש.   </w:t>
      </w:r>
    </w:p>
    <w:p w:rsidR="008771D6" w:rsidRPr="008771D6" w:rsidRDefault="008771D6" w:rsidP="008771D6">
      <w:pPr>
        <w:spacing w:after="0" w:line="240" w:lineRule="auto"/>
        <w:rPr>
          <w:rFonts w:ascii="David" w:eastAsia="Times New Roman" w:hAnsi="David" w:cs="David"/>
          <w:noProof/>
          <w:color w:val="000000"/>
          <w:sz w:val="24"/>
          <w:szCs w:val="24"/>
        </w:rPr>
      </w:pPr>
    </w:p>
    <w:p w:rsidR="008771D6" w:rsidRPr="008771D6" w:rsidRDefault="008771D6" w:rsidP="008771D6">
      <w:pPr>
        <w:spacing w:after="0" w:line="240" w:lineRule="auto"/>
        <w:ind w:left="720"/>
        <w:contextualSpacing/>
        <w:rPr>
          <w:rFonts w:ascii="David" w:eastAsia="Times New Roman" w:hAnsi="David" w:cs="David"/>
          <w:noProof/>
          <w:color w:val="000000"/>
          <w:sz w:val="24"/>
          <w:szCs w:val="24"/>
        </w:rPr>
      </w:pPr>
    </w:p>
    <w:p w:rsidR="008771D6" w:rsidRDefault="008771D6" w:rsidP="008771D6">
      <w:pPr>
        <w:numPr>
          <w:ilvl w:val="0"/>
          <w:numId w:val="1"/>
        </w:numPr>
        <w:spacing w:after="0" w:line="360" w:lineRule="auto"/>
        <w:contextualSpacing/>
        <w:jc w:val="both"/>
        <w:rPr>
          <w:rFonts w:ascii="David" w:eastAsia="Times New Roman" w:hAnsi="David" w:cs="David"/>
          <w:color w:val="000000"/>
          <w:sz w:val="24"/>
          <w:szCs w:val="24"/>
        </w:rPr>
      </w:pPr>
      <w:r w:rsidRPr="008771D6">
        <w:rPr>
          <w:rFonts w:ascii="David" w:eastAsia="Times New Roman" w:hAnsi="David" w:cs="David"/>
          <w:color w:val="000000"/>
          <w:sz w:val="24"/>
          <w:szCs w:val="24"/>
          <w:rtl/>
        </w:rPr>
        <w:t xml:space="preserve">בנסיבות אלו, </w:t>
      </w:r>
      <w:r w:rsidRPr="008771D6">
        <w:rPr>
          <w:rFonts w:ascii="David" w:eastAsia="Times New Roman" w:hAnsi="David" w:cs="David" w:hint="cs"/>
          <w:color w:val="000000"/>
          <w:sz w:val="24"/>
          <w:szCs w:val="24"/>
          <w:rtl/>
        </w:rPr>
        <w:t xml:space="preserve">בפרט בהינתן השלב בו מצוי ההליך המתנהל בבית המשפט קמא, </w:t>
      </w:r>
      <w:r w:rsidRPr="008771D6">
        <w:rPr>
          <w:rFonts w:ascii="David" w:eastAsia="Times New Roman" w:hAnsi="David" w:cs="David"/>
          <w:color w:val="000000"/>
          <w:sz w:val="24"/>
          <w:szCs w:val="24"/>
          <w:rtl/>
        </w:rPr>
        <w:t xml:space="preserve">לא מצאתי כי </w:t>
      </w:r>
      <w:r w:rsidRPr="008771D6">
        <w:rPr>
          <w:rFonts w:ascii="David" w:eastAsia="Times New Roman" w:hAnsi="David" w:cs="David" w:hint="cs"/>
          <w:color w:val="000000"/>
          <w:sz w:val="24"/>
          <w:szCs w:val="24"/>
          <w:rtl/>
        </w:rPr>
        <w:t xml:space="preserve">בהעדר התערבות של ערכאת הערעור יגרם למבקש נזק או עוול. יתר על כן, מוטב היה </w:t>
      </w:r>
    </w:p>
    <w:p w:rsidR="008771D6" w:rsidRDefault="008771D6" w:rsidP="008771D6">
      <w:pPr>
        <w:spacing w:after="0" w:line="360" w:lineRule="auto"/>
        <w:ind w:left="786"/>
        <w:contextualSpacing/>
        <w:jc w:val="both"/>
        <w:rPr>
          <w:rFonts w:ascii="David" w:eastAsia="Times New Roman" w:hAnsi="David" w:cs="David"/>
          <w:color w:val="000000"/>
          <w:sz w:val="24"/>
          <w:szCs w:val="24"/>
        </w:rPr>
      </w:pPr>
    </w:p>
    <w:p w:rsidR="008771D6" w:rsidRDefault="008771D6" w:rsidP="008771D6">
      <w:pPr>
        <w:spacing w:after="0" w:line="360" w:lineRule="auto"/>
        <w:ind w:left="786"/>
        <w:contextualSpacing/>
        <w:jc w:val="both"/>
        <w:rPr>
          <w:rFonts w:ascii="David" w:eastAsia="Times New Roman" w:hAnsi="David" w:cs="David"/>
          <w:color w:val="000000"/>
          <w:sz w:val="24"/>
          <w:szCs w:val="24"/>
        </w:rPr>
      </w:pPr>
    </w:p>
    <w:p w:rsidR="008771D6" w:rsidRDefault="008771D6" w:rsidP="008771D6">
      <w:pPr>
        <w:numPr>
          <w:ilvl w:val="0"/>
          <w:numId w:val="1"/>
        </w:numPr>
        <w:spacing w:after="0" w:line="360" w:lineRule="auto"/>
        <w:contextualSpacing/>
        <w:jc w:val="both"/>
        <w:rPr>
          <w:rFonts w:ascii="David" w:eastAsia="Times New Roman" w:hAnsi="David" w:cs="David"/>
          <w:color w:val="000000"/>
          <w:sz w:val="24"/>
          <w:szCs w:val="24"/>
        </w:rPr>
      </w:pPr>
      <w:r w:rsidRPr="008771D6">
        <w:rPr>
          <w:rFonts w:ascii="David" w:eastAsia="Times New Roman" w:hAnsi="David" w:cs="David" w:hint="cs"/>
          <w:color w:val="000000"/>
          <w:sz w:val="24"/>
          <w:szCs w:val="24"/>
          <w:rtl/>
        </w:rPr>
        <w:t xml:space="preserve">אלמלא הוגשה הבקשה דנא, שגרמה לעיכוב בבירור ההליכים בבית המשפט קמא תוך הותרת הקטינים בחוסר וודאות באופן החותר תחת טובתם.   </w:t>
      </w:r>
    </w:p>
    <w:p w:rsidR="008771D6" w:rsidRPr="008771D6" w:rsidRDefault="008771D6" w:rsidP="008771D6">
      <w:pPr>
        <w:spacing w:after="0" w:line="360" w:lineRule="auto"/>
        <w:ind w:left="786"/>
        <w:contextualSpacing/>
        <w:jc w:val="both"/>
        <w:rPr>
          <w:rFonts w:ascii="David" w:eastAsia="Times New Roman" w:hAnsi="David" w:cs="David"/>
          <w:color w:val="000000"/>
          <w:sz w:val="24"/>
          <w:szCs w:val="24"/>
        </w:rPr>
      </w:pPr>
    </w:p>
    <w:p w:rsidR="008771D6" w:rsidRPr="008771D6" w:rsidRDefault="008771D6" w:rsidP="008771D6">
      <w:pPr>
        <w:numPr>
          <w:ilvl w:val="0"/>
          <w:numId w:val="1"/>
        </w:numPr>
        <w:spacing w:after="0" w:line="360" w:lineRule="auto"/>
        <w:contextualSpacing/>
        <w:jc w:val="both"/>
        <w:rPr>
          <w:rFonts w:ascii="Arial" w:eastAsia="Times New Roman" w:hAnsi="Arial" w:cs="David"/>
          <w:sz w:val="24"/>
          <w:szCs w:val="24"/>
        </w:rPr>
      </w:pPr>
      <w:r w:rsidRPr="008771D6">
        <w:rPr>
          <w:rFonts w:ascii="Arial" w:eastAsia="Times New Roman" w:hAnsi="Arial" w:cs="David" w:hint="cs"/>
          <w:sz w:val="24"/>
          <w:szCs w:val="24"/>
          <w:rtl/>
        </w:rPr>
        <w:t>על יסוד האמור, הבקשה נדחית.</w:t>
      </w:r>
    </w:p>
    <w:p w:rsidR="008771D6" w:rsidRPr="008771D6" w:rsidRDefault="008771D6" w:rsidP="008771D6">
      <w:pPr>
        <w:spacing w:after="0" w:line="360" w:lineRule="auto"/>
        <w:ind w:left="786"/>
        <w:contextualSpacing/>
        <w:jc w:val="both"/>
        <w:rPr>
          <w:rFonts w:ascii="Arial" w:eastAsia="Times New Roman" w:hAnsi="Arial" w:cs="David"/>
          <w:sz w:val="24"/>
          <w:szCs w:val="24"/>
        </w:rPr>
      </w:pPr>
    </w:p>
    <w:p w:rsidR="008771D6" w:rsidRPr="008771D6" w:rsidRDefault="008771D6" w:rsidP="008771D6">
      <w:pPr>
        <w:numPr>
          <w:ilvl w:val="0"/>
          <w:numId w:val="1"/>
        </w:numPr>
        <w:spacing w:after="0" w:line="360" w:lineRule="auto"/>
        <w:contextualSpacing/>
        <w:jc w:val="both"/>
        <w:rPr>
          <w:rFonts w:ascii="Arial" w:eastAsia="Times New Roman" w:hAnsi="Arial" w:cs="David"/>
          <w:sz w:val="24"/>
          <w:szCs w:val="24"/>
        </w:rPr>
      </w:pPr>
      <w:r w:rsidRPr="008771D6">
        <w:rPr>
          <w:rFonts w:ascii="Arial" w:eastAsia="Times New Roman" w:hAnsi="Arial" w:cs="David" w:hint="cs"/>
          <w:sz w:val="24"/>
          <w:szCs w:val="24"/>
          <w:rtl/>
        </w:rPr>
        <w:t xml:space="preserve">בראי כלל הנסיבות ושעה שהמשיבה מיוצגת ע"י הלשכה לסיוע משפטי, יישא המבקש בהוצאות לטובת אוצר המדינה בסך 3,500 ₪ מתוך העירבון שהופקד על ידו. היתרה על פירותיה תוחזר לידיו. </w:t>
      </w:r>
    </w:p>
    <w:p w:rsidR="008771D6" w:rsidRPr="008771D6" w:rsidRDefault="008771D6" w:rsidP="008771D6">
      <w:pPr>
        <w:spacing w:after="0" w:line="240" w:lineRule="auto"/>
        <w:ind w:left="720"/>
        <w:contextualSpacing/>
        <w:rPr>
          <w:rFonts w:ascii="Arial" w:eastAsia="Times New Roman" w:hAnsi="Arial" w:cs="David"/>
          <w:sz w:val="24"/>
          <w:szCs w:val="24"/>
          <w:rtl/>
        </w:rPr>
      </w:pPr>
    </w:p>
    <w:p w:rsidR="008771D6" w:rsidRPr="008771D6" w:rsidRDefault="008771D6" w:rsidP="008771D6">
      <w:pPr>
        <w:numPr>
          <w:ilvl w:val="0"/>
          <w:numId w:val="1"/>
        </w:numPr>
        <w:spacing w:after="0" w:line="360" w:lineRule="auto"/>
        <w:contextualSpacing/>
        <w:jc w:val="both"/>
        <w:rPr>
          <w:rFonts w:ascii="Arial" w:eastAsia="Times New Roman" w:hAnsi="Arial" w:cs="David"/>
          <w:sz w:val="24"/>
          <w:szCs w:val="24"/>
        </w:rPr>
      </w:pPr>
      <w:r w:rsidRPr="008771D6">
        <w:rPr>
          <w:rFonts w:ascii="Arial" w:eastAsia="Times New Roman" w:hAnsi="Arial" w:cs="David"/>
          <w:sz w:val="24"/>
          <w:szCs w:val="24"/>
          <w:rtl/>
        </w:rPr>
        <w:t>המזכירות תמציא ההחלטה לצדדים ותסגור התיק.</w:t>
      </w:r>
    </w:p>
    <w:p w:rsidR="008771D6" w:rsidRPr="008771D6" w:rsidRDefault="008771D6" w:rsidP="008771D6">
      <w:pPr>
        <w:spacing w:after="0" w:line="240" w:lineRule="auto"/>
        <w:ind w:left="720"/>
        <w:contextualSpacing/>
        <w:rPr>
          <w:rFonts w:ascii="Arial" w:eastAsia="Times New Roman" w:hAnsi="Arial" w:cs="David"/>
          <w:sz w:val="24"/>
          <w:szCs w:val="24"/>
        </w:rPr>
      </w:pPr>
    </w:p>
    <w:p w:rsidR="008771D6" w:rsidRPr="008771D6" w:rsidRDefault="008771D6" w:rsidP="008771D6">
      <w:pPr>
        <w:numPr>
          <w:ilvl w:val="0"/>
          <w:numId w:val="1"/>
        </w:numPr>
        <w:spacing w:after="0" w:line="360" w:lineRule="auto"/>
        <w:contextualSpacing/>
        <w:jc w:val="both"/>
        <w:rPr>
          <w:rFonts w:ascii="Arial" w:eastAsia="Times New Roman" w:hAnsi="Arial" w:cs="David"/>
          <w:sz w:val="24"/>
          <w:szCs w:val="24"/>
        </w:rPr>
      </w:pPr>
      <w:r w:rsidRPr="008771D6">
        <w:rPr>
          <w:rFonts w:ascii="Arial" w:eastAsia="Times New Roman" w:hAnsi="Arial" w:cs="David"/>
          <w:sz w:val="24"/>
          <w:szCs w:val="24"/>
          <w:rtl/>
        </w:rPr>
        <w:t xml:space="preserve">ההחלטה ניתנת לפרסום, תוך השמטת שמות הצדדים ופרטים מזהים נוספים. </w:t>
      </w:r>
    </w:p>
    <w:p w:rsidR="008771D6" w:rsidRPr="008771D6" w:rsidRDefault="008771D6" w:rsidP="008771D6">
      <w:pPr>
        <w:spacing w:after="0" w:line="360" w:lineRule="auto"/>
        <w:jc w:val="both"/>
        <w:rPr>
          <w:rFonts w:ascii="Arial" w:eastAsia="Times New Roman" w:hAnsi="Arial" w:cs="David"/>
          <w:sz w:val="24"/>
          <w:szCs w:val="24"/>
          <w:rtl/>
        </w:rPr>
      </w:pPr>
    </w:p>
    <w:p w:rsidR="008771D6" w:rsidRPr="008771D6" w:rsidRDefault="008771D6" w:rsidP="008771D6">
      <w:pPr>
        <w:spacing w:after="0" w:line="360" w:lineRule="auto"/>
        <w:jc w:val="both"/>
        <w:rPr>
          <w:rFonts w:ascii="Arial" w:eastAsia="Times New Roman" w:hAnsi="Arial" w:cs="David"/>
          <w:sz w:val="24"/>
          <w:szCs w:val="24"/>
          <w:rtl/>
        </w:rPr>
      </w:pPr>
      <w:r w:rsidRPr="008771D6">
        <w:rPr>
          <w:rFonts w:ascii="Arial" w:eastAsia="Times New Roman" w:hAnsi="Arial" w:cs="David"/>
          <w:sz w:val="24"/>
          <w:szCs w:val="24"/>
          <w:rtl/>
        </w:rPr>
        <w:t>נית</w:t>
      </w:r>
      <w:r w:rsidRPr="008771D6">
        <w:rPr>
          <w:rFonts w:ascii="Arial" w:eastAsia="Times New Roman" w:hAnsi="Arial" w:cs="David" w:hint="cs"/>
          <w:sz w:val="24"/>
          <w:szCs w:val="24"/>
          <w:rtl/>
        </w:rPr>
        <w:t>נה</w:t>
      </w:r>
      <w:r w:rsidRPr="008771D6">
        <w:rPr>
          <w:rFonts w:ascii="Arial" w:eastAsia="Times New Roman" w:hAnsi="Arial" w:cs="David"/>
          <w:sz w:val="24"/>
          <w:szCs w:val="24"/>
          <w:rtl/>
        </w:rPr>
        <w:t xml:space="preserve"> היום, </w:t>
      </w:r>
      <w:sdt>
        <w:sdtPr>
          <w:rPr>
            <w:rFonts w:ascii="Times New Roman" w:eastAsia="Times New Roman" w:hAnsi="Times New Roman" w:cs="David"/>
            <w:noProof/>
            <w:sz w:val="24"/>
            <w:szCs w:val="24"/>
            <w:rtl/>
          </w:rPr>
          <w:alias w:val="1455"/>
          <w:tag w:val="1455"/>
          <w:id w:val="1666048407"/>
          <w:text w:multiLine="1"/>
        </w:sdtPr>
        <w:sdtEndPr/>
        <w:sdtContent>
          <w:r w:rsidRPr="008771D6">
            <w:rPr>
              <w:rFonts w:ascii="Times New Roman" w:eastAsia="Times New Roman" w:hAnsi="Times New Roman" w:cs="David" w:hint="cs"/>
              <w:noProof/>
              <w:sz w:val="24"/>
              <w:szCs w:val="24"/>
              <w:rtl/>
            </w:rPr>
            <w:t>כ"ט אב תשפ"ג</w:t>
          </w:r>
        </w:sdtContent>
      </w:sdt>
      <w:r w:rsidRPr="008771D6">
        <w:rPr>
          <w:rFonts w:ascii="Arial" w:eastAsia="Times New Roman" w:hAnsi="Arial" w:cs="David"/>
          <w:sz w:val="24"/>
          <w:szCs w:val="24"/>
          <w:rtl/>
        </w:rPr>
        <w:t xml:space="preserve">, </w:t>
      </w:r>
      <w:sdt>
        <w:sdtPr>
          <w:rPr>
            <w:rFonts w:ascii="Times New Roman" w:eastAsia="Times New Roman" w:hAnsi="Times New Roman" w:cs="David"/>
            <w:noProof/>
            <w:sz w:val="24"/>
            <w:szCs w:val="24"/>
            <w:rtl/>
          </w:rPr>
          <w:alias w:val="1456"/>
          <w:tag w:val="1456"/>
          <w:id w:val="-1186288958"/>
          <w:text w:multiLine="1"/>
        </w:sdtPr>
        <w:sdtEndPr/>
        <w:sdtContent>
          <w:r w:rsidRPr="008771D6">
            <w:rPr>
              <w:rFonts w:ascii="Times New Roman" w:eastAsia="Times New Roman" w:hAnsi="Times New Roman" w:cs="David" w:hint="cs"/>
              <w:noProof/>
              <w:sz w:val="24"/>
              <w:szCs w:val="24"/>
              <w:rtl/>
            </w:rPr>
            <w:t>16 אוגוסט 2023</w:t>
          </w:r>
        </w:sdtContent>
      </w:sdt>
      <w:r w:rsidRPr="008771D6">
        <w:rPr>
          <w:rFonts w:ascii="Arial" w:eastAsia="Times New Roman" w:hAnsi="Arial" w:cs="David"/>
          <w:sz w:val="24"/>
          <w:szCs w:val="24"/>
          <w:rtl/>
        </w:rPr>
        <w:t>, בהעדר הצדדים.</w:t>
      </w:r>
    </w:p>
    <w:p w:rsidR="008771D6" w:rsidRPr="008771D6" w:rsidRDefault="00DF633D" w:rsidP="008771D6">
      <w:pPr>
        <w:tabs>
          <w:tab w:val="left" w:pos="2553"/>
        </w:tabs>
        <w:spacing w:after="0" w:line="240" w:lineRule="auto"/>
        <w:ind w:left="5040"/>
        <w:rPr>
          <w:rFonts w:ascii="Times New Roman" w:eastAsia="Times New Roman" w:hAnsi="Times New Roman" w:cs="David"/>
          <w:noProof/>
          <w:sz w:val="24"/>
          <w:szCs w:val="24"/>
          <w:rtl/>
        </w:rPr>
      </w:pPr>
      <w:sdt>
        <w:sdtPr>
          <w:rPr>
            <w:rFonts w:ascii="Times New Roman" w:eastAsia="Times New Roman" w:hAnsi="Times New Roman" w:cs="David" w:hint="cs"/>
            <w:noProof/>
            <w:sz w:val="24"/>
            <w:szCs w:val="24"/>
            <w:rtl/>
          </w:rPr>
          <w:alias w:val="2045"/>
          <w:tag w:val="2045"/>
          <w:id w:val="740689340"/>
          <w:placeholder>
            <w:docPart w:val="47FA407CAB944036A3140F520F962560"/>
          </w:placeholder>
          <w:showingPlcHdr/>
          <w:text w:multiLine="1"/>
        </w:sdtPr>
        <w:sdtEndPr/>
        <w:sdtContent>
          <w:r w:rsidR="008771D6" w:rsidRPr="008771D6">
            <w:rPr>
              <w:rFonts w:ascii="Times New Roman" w:eastAsia="Times New Roman" w:hAnsi="Times New Roman" w:cs="David" w:hint="cs"/>
              <w:noProof/>
              <w:sz w:val="24"/>
              <w:szCs w:val="24"/>
              <w:rtl/>
            </w:rPr>
            <w:t xml:space="preserve">     </w:t>
          </w:r>
        </w:sdtContent>
      </w:sdt>
    </w:p>
    <w:p w:rsidR="008771D6" w:rsidRPr="008771D6" w:rsidRDefault="008771D6" w:rsidP="008771D6">
      <w:pPr>
        <w:tabs>
          <w:tab w:val="left" w:pos="2553"/>
        </w:tabs>
        <w:spacing w:after="0" w:line="240" w:lineRule="auto"/>
        <w:rPr>
          <w:rFonts w:ascii="Times New Roman" w:eastAsia="Times New Roman" w:hAnsi="Times New Roman" w:cs="David"/>
          <w:noProof/>
          <w:sz w:val="24"/>
          <w:szCs w:val="24"/>
        </w:rPr>
      </w:pPr>
      <w:r w:rsidRPr="008771D6">
        <w:rPr>
          <w:rFonts w:ascii="Times New Roman" w:eastAsia="Times New Roman" w:hAnsi="Times New Roman" w:cs="David" w:hint="cs"/>
          <w:noProof/>
          <w:sz w:val="24"/>
          <w:szCs w:val="24"/>
          <w:rtl/>
        </w:rPr>
        <w:tab/>
      </w:r>
      <w:r w:rsidRPr="008771D6">
        <w:rPr>
          <w:rFonts w:ascii="Times New Roman" w:eastAsia="Times New Roman" w:hAnsi="Times New Roman" w:cs="David" w:hint="cs"/>
          <w:noProof/>
          <w:sz w:val="24"/>
          <w:szCs w:val="24"/>
          <w:rtl/>
        </w:rPr>
        <w:tab/>
      </w:r>
      <w:r w:rsidRPr="008771D6">
        <w:rPr>
          <w:rFonts w:ascii="Times New Roman" w:eastAsia="Times New Roman" w:hAnsi="Times New Roman" w:cs="David" w:hint="cs"/>
          <w:noProof/>
          <w:sz w:val="24"/>
          <w:szCs w:val="24"/>
          <w:rtl/>
        </w:rPr>
        <w:tab/>
      </w:r>
      <w:r w:rsidRPr="008771D6">
        <w:rPr>
          <w:rFonts w:ascii="Times New Roman" w:eastAsia="Times New Roman" w:hAnsi="Times New Roman" w:cs="David" w:hint="cs"/>
          <w:noProof/>
          <w:sz w:val="24"/>
          <w:szCs w:val="24"/>
          <w:rtl/>
        </w:rPr>
        <w:tab/>
        <w:t xml:space="preserve">        </w:t>
      </w:r>
      <w:sdt>
        <w:sdtPr>
          <w:rPr>
            <w:rFonts w:ascii="Times New Roman" w:eastAsia="Times New Roman" w:hAnsi="Times New Roman" w:cs="David"/>
            <w:noProof/>
            <w:sz w:val="24"/>
            <w:szCs w:val="24"/>
            <w:rtl/>
          </w:rPr>
          <w:alias w:val="MergeField"/>
          <w:tag w:val="1237"/>
          <w:id w:val="-766997472"/>
        </w:sdtPr>
        <w:sdtEndPr/>
        <w:sdtContent>
          <w:r w:rsidRPr="008771D6">
            <w:rPr>
              <w:rFonts w:ascii="Times New Roman" w:eastAsia="Times New Roman" w:hAnsi="Times New Roman" w:cs="David"/>
              <w:noProof/>
              <w:sz w:val="24"/>
              <w:szCs w:val="24"/>
            </w:rPr>
            <w:drawing>
              <wp:inline distT="0" distB="0" distL="0" distR="0" wp14:anchorId="2760FF71" wp14:editId="4F346C1D">
                <wp:extent cx="1666875" cy="1047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666875" cy="1047750"/>
                        </a:xfrm>
                        <a:prstGeom prst="rect">
                          <a:avLst/>
                        </a:prstGeom>
                      </pic:spPr>
                    </pic:pic>
                  </a:graphicData>
                </a:graphic>
              </wp:inline>
            </w:drawing>
          </w:r>
        </w:sdtContent>
      </w:sdt>
    </w:p>
    <w:p w:rsidR="008771D6" w:rsidRPr="008771D6" w:rsidRDefault="008771D6" w:rsidP="008771D6">
      <w:pPr>
        <w:tabs>
          <w:tab w:val="left" w:pos="2553"/>
        </w:tabs>
        <w:spacing w:after="0" w:line="240" w:lineRule="auto"/>
        <w:rPr>
          <w:rFonts w:ascii="Arial" w:eastAsia="Times New Roman" w:hAnsi="Arial" w:cs="David"/>
          <w:sz w:val="24"/>
          <w:szCs w:val="24"/>
          <w:rtl/>
        </w:rPr>
      </w:pPr>
    </w:p>
    <w:p w:rsidR="000A4498" w:rsidRDefault="000A4498"/>
    <w:sectPr w:rsidR="000A4498" w:rsidSect="00897C85">
      <w:headerReference w:type="default" r:id="rId8"/>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712D" w:rsidRDefault="00CB712D" w:rsidP="008771D6">
      <w:pPr>
        <w:spacing w:after="0" w:line="240" w:lineRule="auto"/>
      </w:pPr>
      <w:r>
        <w:separator/>
      </w:r>
    </w:p>
  </w:endnote>
  <w:endnote w:type="continuationSeparator" w:id="0">
    <w:p w:rsidR="00CB712D" w:rsidRDefault="00CB712D" w:rsidP="008771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712D" w:rsidRDefault="00CB712D" w:rsidP="008771D6">
      <w:pPr>
        <w:spacing w:after="0" w:line="240" w:lineRule="auto"/>
      </w:pPr>
      <w:r>
        <w:separator/>
      </w:r>
    </w:p>
  </w:footnote>
  <w:footnote w:type="continuationSeparator" w:id="0">
    <w:p w:rsidR="00CB712D" w:rsidRDefault="00CB712D" w:rsidP="008771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71D6" w:rsidRDefault="008771D6" w:rsidP="008771D6">
    <w:pPr>
      <w:pStyle w:val="a4"/>
      <w:jc w:val="center"/>
      <w:rPr>
        <w:rtl/>
      </w:rPr>
    </w:pPr>
  </w:p>
  <w:p w:rsidR="008771D6" w:rsidRDefault="008771D6" w:rsidP="008771D6">
    <w:pPr>
      <w:pStyle w:val="a4"/>
      <w:jc w:val="center"/>
      <w:rPr>
        <w:rtl/>
      </w:rPr>
    </w:pPr>
  </w:p>
  <w:p w:rsidR="008771D6" w:rsidRDefault="00DF633D" w:rsidP="008771D6">
    <w:pPr>
      <w:pStyle w:val="a4"/>
      <w:jc w:val="center"/>
      <w:rPr>
        <w:rtl/>
      </w:rPr>
    </w:pPr>
    <w:sdt>
      <w:sdtPr>
        <w:rPr>
          <w:rFonts w:ascii="Tahoma" w:hAnsi="Tahoma"/>
          <w:color w:val="000080"/>
          <w:sz w:val="32"/>
          <w:szCs w:val="32"/>
          <w:rtl/>
        </w:rPr>
        <w:alias w:val="1174"/>
        <w:tag w:val="1174"/>
        <w:id w:val="-1585920285"/>
        <w:showingPlcHdr/>
        <w:text w:multiLine="1"/>
      </w:sdtPr>
      <w:sdtEndPr/>
      <w:sdtContent>
        <w:r w:rsidR="008771D6">
          <w:rPr>
            <w:rFonts w:ascii="Tahoma" w:hAnsi="Tahoma"/>
            <w:color w:val="000080"/>
            <w:sz w:val="32"/>
            <w:szCs w:val="32"/>
            <w:rtl/>
          </w:rPr>
          <w:t xml:space="preserve">     </w:t>
        </w:r>
      </w:sdtContent>
    </w:sdt>
    <w:r w:rsidR="008771D6">
      <w:rPr>
        <w:rFonts w:ascii="Tahoma" w:hAnsi="Tahoma"/>
        <w:color w:val="000080"/>
        <w:sz w:val="32"/>
        <w:szCs w:val="32"/>
        <w:rtl/>
      </w:rPr>
      <w:br/>
    </w:r>
    <w:r w:rsidR="008771D6">
      <w:rPr>
        <w:rFonts w:cs="FrankRuehl"/>
        <w:noProof/>
        <w:sz w:val="28"/>
        <w:szCs w:val="28"/>
      </w:rPr>
      <w:drawing>
        <wp:inline distT="0" distB="0" distL="0" distR="0" wp14:anchorId="741B0BF9" wp14:editId="4CA739B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p w:rsidR="008771D6" w:rsidRDefault="008771D6" w:rsidP="008771D6">
    <w:pPr>
      <w:pStyle w:val="a4"/>
      <w:jc w:val="center"/>
      <w:rPr>
        <w:rtl/>
      </w:rPr>
    </w:pPr>
    <w:r w:rsidRPr="00F038D8">
      <w:rPr>
        <w:rFonts w:ascii="Tahoma" w:hAnsi="Tahoma"/>
        <w:color w:val="000080"/>
        <w:sz w:val="32"/>
        <w:szCs w:val="32"/>
        <w:rtl/>
      </w:rPr>
      <w:t>בית המשפט המחוזי בבאר שבע</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4E6D6C"/>
    <w:multiLevelType w:val="hybridMultilevel"/>
    <w:tmpl w:val="7FE854B8"/>
    <w:lvl w:ilvl="0" w:tplc="8060510E">
      <w:start w:val="1"/>
      <w:numFmt w:val="decimal"/>
      <w:lvlText w:val="%1."/>
      <w:lvlJc w:val="left"/>
      <w:pPr>
        <w:ind w:left="786" w:hanging="360"/>
      </w:pPr>
      <w:rPr>
        <w:b w:val="0"/>
        <w:bCs w:val="0"/>
      </w:rPr>
    </w:lvl>
    <w:lvl w:ilvl="1" w:tplc="04090019">
      <w:start w:val="1"/>
      <w:numFmt w:val="lowerLetter"/>
      <w:lvlText w:val="%2."/>
      <w:lvlJc w:val="left"/>
      <w:pPr>
        <w:ind w:left="3070" w:hanging="360"/>
      </w:pPr>
    </w:lvl>
    <w:lvl w:ilvl="2" w:tplc="0409001B">
      <w:start w:val="1"/>
      <w:numFmt w:val="lowerRoman"/>
      <w:lvlText w:val="%3."/>
      <w:lvlJc w:val="right"/>
      <w:pPr>
        <w:ind w:left="3790" w:hanging="180"/>
      </w:pPr>
    </w:lvl>
    <w:lvl w:ilvl="3" w:tplc="0409000F">
      <w:start w:val="1"/>
      <w:numFmt w:val="decimal"/>
      <w:lvlText w:val="%4."/>
      <w:lvlJc w:val="left"/>
      <w:pPr>
        <w:ind w:left="4510" w:hanging="360"/>
      </w:pPr>
    </w:lvl>
    <w:lvl w:ilvl="4" w:tplc="04090019">
      <w:start w:val="1"/>
      <w:numFmt w:val="lowerLetter"/>
      <w:lvlText w:val="%5."/>
      <w:lvlJc w:val="left"/>
      <w:pPr>
        <w:ind w:left="5230" w:hanging="360"/>
      </w:pPr>
    </w:lvl>
    <w:lvl w:ilvl="5" w:tplc="0409001B">
      <w:start w:val="1"/>
      <w:numFmt w:val="lowerRoman"/>
      <w:lvlText w:val="%6."/>
      <w:lvlJc w:val="right"/>
      <w:pPr>
        <w:ind w:left="5950" w:hanging="180"/>
      </w:pPr>
    </w:lvl>
    <w:lvl w:ilvl="6" w:tplc="0409000F">
      <w:start w:val="1"/>
      <w:numFmt w:val="decimal"/>
      <w:lvlText w:val="%7."/>
      <w:lvlJc w:val="left"/>
      <w:pPr>
        <w:ind w:left="6670" w:hanging="360"/>
      </w:pPr>
    </w:lvl>
    <w:lvl w:ilvl="7" w:tplc="04090019">
      <w:start w:val="1"/>
      <w:numFmt w:val="lowerLetter"/>
      <w:lvlText w:val="%8."/>
      <w:lvlJc w:val="left"/>
      <w:pPr>
        <w:ind w:left="7390" w:hanging="360"/>
      </w:pPr>
    </w:lvl>
    <w:lvl w:ilvl="8" w:tplc="0409001B">
      <w:start w:val="1"/>
      <w:numFmt w:val="lowerRoman"/>
      <w:lvlText w:val="%9."/>
      <w:lvlJc w:val="right"/>
      <w:pPr>
        <w:ind w:left="811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1D6"/>
    <w:rsid w:val="000A4498"/>
    <w:rsid w:val="00553B9F"/>
    <w:rsid w:val="008771D6"/>
    <w:rsid w:val="00897C85"/>
    <w:rsid w:val="00CB712D"/>
    <w:rsid w:val="00DF633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E8A976D1-89D3-495B-95EF-D63AC9073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771D6"/>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רשת טבלה1"/>
    <w:basedOn w:val="a1"/>
    <w:next w:val="a3"/>
    <w:rsid w:val="008771D6"/>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771D6"/>
    <w:pPr>
      <w:tabs>
        <w:tab w:val="center" w:pos="4153"/>
        <w:tab w:val="right" w:pos="8306"/>
      </w:tabs>
      <w:spacing w:after="0" w:line="240" w:lineRule="auto"/>
    </w:pPr>
  </w:style>
  <w:style w:type="character" w:customStyle="1" w:styleId="a5">
    <w:name w:val="כותרת עליונה תו"/>
    <w:basedOn w:val="a0"/>
    <w:link w:val="a4"/>
    <w:uiPriority w:val="99"/>
    <w:rsid w:val="008771D6"/>
  </w:style>
  <w:style w:type="paragraph" w:styleId="a6">
    <w:name w:val="footer"/>
    <w:basedOn w:val="a"/>
    <w:link w:val="a7"/>
    <w:uiPriority w:val="99"/>
    <w:unhideWhenUsed/>
    <w:rsid w:val="008771D6"/>
    <w:pPr>
      <w:tabs>
        <w:tab w:val="center" w:pos="4153"/>
        <w:tab w:val="right" w:pos="8306"/>
      </w:tabs>
      <w:spacing w:after="0" w:line="240" w:lineRule="auto"/>
    </w:pPr>
  </w:style>
  <w:style w:type="character" w:customStyle="1" w:styleId="a7">
    <w:name w:val="כותרת תחתונה תו"/>
    <w:basedOn w:val="a0"/>
    <w:link w:val="a6"/>
    <w:uiPriority w:val="99"/>
    <w:rsid w:val="008771D6"/>
  </w:style>
  <w:style w:type="paragraph" w:styleId="a8">
    <w:name w:val="List Paragraph"/>
    <w:basedOn w:val="a"/>
    <w:uiPriority w:val="34"/>
    <w:qFormat/>
    <w:rsid w:val="008771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34004F6E2A7496E8271DA9C394F517F"/>
        <w:category>
          <w:name w:val="כללי"/>
          <w:gallery w:val="placeholder"/>
        </w:category>
        <w:types>
          <w:type w:val="bbPlcHdr"/>
        </w:types>
        <w:behaviors>
          <w:behavior w:val="content"/>
        </w:behaviors>
        <w:guid w:val="{7BFCC7AC-15DC-462A-B713-52CE29834730}"/>
      </w:docPartPr>
      <w:docPartBody>
        <w:p w:rsidR="0025796A" w:rsidRDefault="007A4988" w:rsidP="007A4988">
          <w:pPr>
            <w:pStyle w:val="934004F6E2A7496E8271DA9C394F517F"/>
          </w:pPr>
          <w:r w:rsidRPr="00CD516B">
            <w:rPr>
              <w:rFonts w:ascii="Arial" w:hAnsi="Arial"/>
              <w:b/>
              <w:bCs/>
              <w:sz w:val="26"/>
              <w:szCs w:val="26"/>
              <w:rtl/>
            </w:rPr>
            <w:t>שם צד א' ללא שם של חסוי</w:t>
          </w:r>
        </w:p>
      </w:docPartBody>
    </w:docPart>
    <w:docPart>
      <w:docPartPr>
        <w:name w:val="4084C9535209436E98FB5E3E77282714"/>
        <w:category>
          <w:name w:val="כללי"/>
          <w:gallery w:val="placeholder"/>
        </w:category>
        <w:types>
          <w:type w:val="bbPlcHdr"/>
        </w:types>
        <w:behaviors>
          <w:behavior w:val="content"/>
        </w:behaviors>
        <w:guid w:val="{F9DEEE78-3F1B-4445-8F09-60F839E40E6C}"/>
      </w:docPartPr>
      <w:docPartBody>
        <w:p w:rsidR="0025796A" w:rsidRDefault="007A4988" w:rsidP="007A4988">
          <w:pPr>
            <w:pStyle w:val="4084C9535209436E98FB5E3E77282714"/>
          </w:pPr>
          <w:r w:rsidRPr="00CD516B">
            <w:rPr>
              <w:rFonts w:ascii="Arial" w:hAnsi="Arial"/>
              <w:b/>
              <w:bCs/>
              <w:sz w:val="26"/>
              <w:szCs w:val="26"/>
              <w:rtl/>
            </w:rPr>
            <w:t>שם צד ב' ללא שם של חסוי</w:t>
          </w:r>
        </w:p>
      </w:docPartBody>
    </w:docPart>
    <w:docPart>
      <w:docPartPr>
        <w:name w:val="790E9B88321C4C84A5A30DD798DC8304"/>
        <w:category>
          <w:name w:val="כללי"/>
          <w:gallery w:val="placeholder"/>
        </w:category>
        <w:types>
          <w:type w:val="bbPlcHdr"/>
        </w:types>
        <w:behaviors>
          <w:behavior w:val="content"/>
        </w:behaviors>
        <w:guid w:val="{5D284A10-75CF-4BBA-BB91-D577FCE38C2D}"/>
      </w:docPartPr>
      <w:docPartBody>
        <w:p w:rsidR="0025796A" w:rsidRDefault="007A4988" w:rsidP="007A4988">
          <w:pPr>
            <w:pStyle w:val="790E9B88321C4C84A5A30DD798DC8304"/>
          </w:pPr>
          <w:r>
            <w:rPr>
              <w:rFonts w:ascii="Arial" w:hAnsi="Arial"/>
              <w:b/>
              <w:bCs/>
              <w:sz w:val="26"/>
              <w:szCs w:val="26"/>
              <w:rtl/>
            </w:rPr>
            <w:t>שם צד ב' ללא שם של חסוי</w:t>
          </w:r>
        </w:p>
      </w:docPartBody>
    </w:docPart>
    <w:docPart>
      <w:docPartPr>
        <w:name w:val="47FA407CAB944036A3140F520F962560"/>
        <w:category>
          <w:name w:val="כללי"/>
          <w:gallery w:val="placeholder"/>
        </w:category>
        <w:types>
          <w:type w:val="bbPlcHdr"/>
        </w:types>
        <w:behaviors>
          <w:behavior w:val="content"/>
        </w:behaviors>
        <w:guid w:val="{7ABAC0FD-8F7F-447C-9AC2-192714B5AC32}"/>
      </w:docPartPr>
      <w:docPartBody>
        <w:p w:rsidR="0025796A" w:rsidRDefault="007A4988" w:rsidP="007A4988">
          <w:pPr>
            <w:pStyle w:val="47FA407CAB944036A3140F520F962560"/>
          </w:pPr>
          <w:r>
            <w:rPr>
              <w:rFonts w:hint="cs"/>
              <w:rtl/>
            </w:rPr>
            <w:t xml:space="preserve">     </w:t>
          </w:r>
        </w:p>
      </w:docPartBody>
    </w:docPart>
    <w:docPart>
      <w:docPartPr>
        <w:name w:val="2E726C8C6151421896116CA5F9D94282"/>
        <w:category>
          <w:name w:val="כללי"/>
          <w:gallery w:val="placeholder"/>
        </w:category>
        <w:types>
          <w:type w:val="bbPlcHdr"/>
        </w:types>
        <w:behaviors>
          <w:behavior w:val="content"/>
        </w:behaviors>
        <w:guid w:val="{03B2FFEB-30D6-430B-BFFA-A72B00388FB7}"/>
      </w:docPartPr>
      <w:docPartBody>
        <w:p w:rsidR="0025796A" w:rsidRDefault="007A4988" w:rsidP="007A4988">
          <w:pPr>
            <w:pStyle w:val="2E726C8C6151421896116CA5F9D94282"/>
          </w:pPr>
          <w:r>
            <w:rPr>
              <w:b/>
              <w:bCs/>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988"/>
    <w:rsid w:val="0007744C"/>
    <w:rsid w:val="0025796A"/>
    <w:rsid w:val="007A498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934004F6E2A7496E8271DA9C394F517F">
    <w:name w:val="934004F6E2A7496E8271DA9C394F517F"/>
    <w:rsid w:val="007A4988"/>
    <w:pPr>
      <w:bidi/>
    </w:pPr>
  </w:style>
  <w:style w:type="paragraph" w:customStyle="1" w:styleId="4084C9535209436E98FB5E3E77282714">
    <w:name w:val="4084C9535209436E98FB5E3E77282714"/>
    <w:rsid w:val="007A4988"/>
    <w:pPr>
      <w:bidi/>
    </w:pPr>
  </w:style>
  <w:style w:type="paragraph" w:customStyle="1" w:styleId="790E9B88321C4C84A5A30DD798DC8304">
    <w:name w:val="790E9B88321C4C84A5A30DD798DC8304"/>
    <w:rsid w:val="007A4988"/>
    <w:pPr>
      <w:bidi/>
    </w:pPr>
  </w:style>
  <w:style w:type="paragraph" w:customStyle="1" w:styleId="47FA407CAB944036A3140F520F962560">
    <w:name w:val="47FA407CAB944036A3140F520F962560"/>
    <w:rsid w:val="007A4988"/>
    <w:pPr>
      <w:bidi/>
    </w:pPr>
  </w:style>
  <w:style w:type="paragraph" w:customStyle="1" w:styleId="2E726C8C6151421896116CA5F9D94282">
    <w:name w:val="2E726C8C6151421896116CA5F9D94282"/>
    <w:rsid w:val="007A4988"/>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1814</Words>
  <Characters>9073</Characters>
  <Application>Microsoft Office Word</Application>
  <DocSecurity>4</DocSecurity>
  <Lines>75</Lines>
  <Paragraphs>21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10866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פאני גילת כהן</dc:creator>
  <cp:keywords/>
  <dc:description/>
  <cp:lastModifiedBy>אטל אזרואל</cp:lastModifiedBy>
  <cp:revision>2</cp:revision>
  <dcterms:created xsi:type="dcterms:W3CDTF">2023-08-22T13:52:00Z</dcterms:created>
  <dcterms:modified xsi:type="dcterms:W3CDTF">2023-08-22T13:52:00Z</dcterms:modified>
</cp:coreProperties>
</file>